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C" w:rsidRPr="00504167" w:rsidRDefault="00A7783C" w:rsidP="00626B22">
      <w:pPr>
        <w:spacing w:line="240" w:lineRule="exact"/>
        <w:jc w:val="center"/>
        <w:rPr>
          <w:i/>
          <w:sz w:val="24"/>
          <w:szCs w:val="24"/>
          <w:lang w:val="en-US"/>
        </w:rPr>
      </w:pPr>
      <w:r>
        <w:rPr>
          <w:rFonts w:eastAsia="Arial"/>
          <w:b/>
          <w:bCs/>
          <w:sz w:val="24"/>
          <w:szCs w:val="24"/>
          <w:lang w:val="en-US"/>
        </w:rPr>
        <w:t>Title</w:t>
      </w:r>
      <w:r w:rsidR="00504167">
        <w:rPr>
          <w:rFonts w:eastAsia="Arial"/>
          <w:b/>
          <w:bCs/>
          <w:sz w:val="24"/>
          <w:szCs w:val="24"/>
        </w:rPr>
        <w:t xml:space="preserve"> </w:t>
      </w:r>
      <w:r w:rsidR="00504167" w:rsidRPr="00504167">
        <w:rPr>
          <w:rFonts w:eastAsia="Arial"/>
          <w:bCs/>
          <w:i/>
          <w:sz w:val="24"/>
          <w:szCs w:val="24"/>
        </w:rPr>
        <w:t>(</w:t>
      </w:r>
      <w:r w:rsidR="00504167" w:rsidRPr="00504167">
        <w:rPr>
          <w:rFonts w:eastAsia="Arial"/>
          <w:bCs/>
          <w:i/>
          <w:sz w:val="24"/>
          <w:szCs w:val="24"/>
          <w:lang w:val="en-US"/>
        </w:rPr>
        <w:t>no abbrev</w:t>
      </w:r>
      <w:r w:rsidR="00504167">
        <w:rPr>
          <w:rFonts w:eastAsia="Arial"/>
          <w:bCs/>
          <w:i/>
          <w:sz w:val="24"/>
          <w:szCs w:val="24"/>
          <w:lang w:val="en-US"/>
        </w:rPr>
        <w:t>i</w:t>
      </w:r>
      <w:r w:rsidR="00504167" w:rsidRPr="00504167">
        <w:rPr>
          <w:rFonts w:eastAsia="Arial"/>
          <w:bCs/>
          <w:i/>
          <w:sz w:val="24"/>
          <w:szCs w:val="24"/>
          <w:lang w:val="en-US"/>
        </w:rPr>
        <w:t>ations)</w:t>
      </w:r>
    </w:p>
    <w:p w:rsidR="002E6B5C" w:rsidRPr="005352DD" w:rsidRDefault="002E6B5C" w:rsidP="005352DD">
      <w:pPr>
        <w:spacing w:line="240" w:lineRule="exact"/>
        <w:jc w:val="center"/>
        <w:rPr>
          <w:sz w:val="24"/>
          <w:szCs w:val="24"/>
          <w:lang w:val="en-US"/>
        </w:rPr>
      </w:pPr>
    </w:p>
    <w:p w:rsidR="002E6B5C" w:rsidRPr="005352DD" w:rsidRDefault="0038132E" w:rsidP="005352DD">
      <w:pPr>
        <w:spacing w:line="240" w:lineRule="exact"/>
        <w:jc w:val="center"/>
        <w:rPr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Author 1</w:t>
      </w:r>
      <w:r w:rsid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a</w:t>
      </w:r>
      <w:r w:rsidR="00FE6187" w:rsidRP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,*</w:t>
      </w:r>
      <w:r w:rsidR="00FE6187" w:rsidRPr="005352DD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/>
          <w:bCs/>
          <w:sz w:val="24"/>
          <w:szCs w:val="24"/>
          <w:lang w:val="en-US"/>
        </w:rPr>
        <w:t>Author 2</w:t>
      </w:r>
      <w:r w:rsid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b</w:t>
      </w:r>
      <w:r w:rsidR="0058093A">
        <w:rPr>
          <w:rFonts w:eastAsia="Times New Roman"/>
          <w:b/>
          <w:bCs/>
          <w:sz w:val="24"/>
          <w:szCs w:val="24"/>
          <w:vertAlign w:val="superscript"/>
          <w:lang w:val="en-US"/>
        </w:rPr>
        <w:t>,*</w:t>
      </w:r>
      <w:r w:rsid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*</w:t>
      </w:r>
      <w:r w:rsidR="00FE6187" w:rsidRPr="005352DD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/>
          <w:bCs/>
          <w:sz w:val="24"/>
          <w:szCs w:val="24"/>
          <w:lang w:val="en-US"/>
        </w:rPr>
        <w:t>Author 3</w:t>
      </w:r>
      <w:r w:rsidR="001134B4">
        <w:rPr>
          <w:rFonts w:eastAsia="Times New Roman"/>
          <w:b/>
          <w:bCs/>
          <w:sz w:val="24"/>
          <w:szCs w:val="24"/>
          <w:vertAlign w:val="superscript"/>
          <w:lang w:val="en-US"/>
        </w:rPr>
        <w:t>с</w:t>
      </w:r>
      <w:r w:rsidR="005352DD" w:rsidRP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,</w:t>
      </w:r>
      <w:r w:rsidR="005352DD">
        <w:rPr>
          <w:rFonts w:eastAsia="Times New Roman"/>
          <w:b/>
          <w:bCs/>
          <w:sz w:val="24"/>
          <w:szCs w:val="24"/>
          <w:lang w:val="en-US"/>
        </w:rPr>
        <w:t>***</w:t>
      </w:r>
      <w:r w:rsidR="00FE6187" w:rsidRPr="005352DD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/>
          <w:bCs/>
          <w:sz w:val="24"/>
          <w:szCs w:val="24"/>
          <w:lang w:val="en-US"/>
        </w:rPr>
        <w:t>Author 4</w:t>
      </w:r>
      <w:r w:rsidR="001134B4">
        <w:rPr>
          <w:rFonts w:eastAsia="Times New Roman"/>
          <w:b/>
          <w:bCs/>
          <w:sz w:val="24"/>
          <w:szCs w:val="24"/>
          <w:vertAlign w:val="superscript"/>
          <w:lang w:val="en-US"/>
        </w:rPr>
        <w:t>d</w:t>
      </w:r>
      <w:r w:rsid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,****</w:t>
      </w:r>
      <w:r w:rsidR="00FE6187" w:rsidRPr="005352DD">
        <w:rPr>
          <w:rFonts w:eastAsia="Times New Roman"/>
          <w:b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/>
          <w:bCs/>
          <w:sz w:val="24"/>
          <w:szCs w:val="24"/>
          <w:lang w:val="en-US"/>
        </w:rPr>
        <w:t>Author 5</w:t>
      </w:r>
      <w:r w:rsidR="001134B4">
        <w:rPr>
          <w:rFonts w:eastAsia="Times New Roman"/>
          <w:b/>
          <w:bCs/>
          <w:sz w:val="24"/>
          <w:szCs w:val="24"/>
          <w:vertAlign w:val="superscript"/>
          <w:lang w:val="en-US"/>
        </w:rPr>
        <w:t>e</w:t>
      </w:r>
      <w:r w:rsidR="005352DD">
        <w:rPr>
          <w:rFonts w:eastAsia="Times New Roman"/>
          <w:b/>
          <w:bCs/>
          <w:sz w:val="24"/>
          <w:szCs w:val="24"/>
          <w:vertAlign w:val="superscript"/>
          <w:lang w:val="en-US"/>
        </w:rPr>
        <w:t>,*****</w:t>
      </w:r>
    </w:p>
    <w:p w:rsidR="002E6B5C" w:rsidRPr="005352DD" w:rsidRDefault="002E6B5C" w:rsidP="005352DD">
      <w:pPr>
        <w:spacing w:line="240" w:lineRule="exact"/>
        <w:jc w:val="center"/>
        <w:rPr>
          <w:sz w:val="24"/>
          <w:szCs w:val="24"/>
          <w:lang w:val="en-US"/>
        </w:rPr>
      </w:pPr>
    </w:p>
    <w:p w:rsidR="002E6B5C" w:rsidRPr="005352DD" w:rsidRDefault="005352DD" w:rsidP="005352DD">
      <w:pPr>
        <w:tabs>
          <w:tab w:val="left" w:pos="717"/>
        </w:tabs>
        <w:spacing w:line="240" w:lineRule="exact"/>
        <w:ind w:right="640"/>
        <w:jc w:val="center"/>
        <w:rPr>
          <w:rFonts w:eastAsia="Times New Roman"/>
          <w:i/>
          <w:sz w:val="24"/>
          <w:szCs w:val="24"/>
          <w:vertAlign w:val="superscript"/>
          <w:lang w:val="en-US"/>
        </w:rPr>
      </w:pPr>
      <w:proofErr w:type="gramStart"/>
      <w:r w:rsidRPr="005352DD">
        <w:rPr>
          <w:rFonts w:eastAsia="Times New Roman"/>
          <w:i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eastAsia="Times New Roman"/>
          <w:i/>
          <w:sz w:val="24"/>
          <w:szCs w:val="24"/>
          <w:lang w:val="en-US"/>
        </w:rPr>
        <w:t xml:space="preserve"> </w:t>
      </w:r>
      <w:r w:rsidR="0038132E">
        <w:rPr>
          <w:rFonts w:eastAsia="Times New Roman"/>
          <w:i/>
          <w:sz w:val="24"/>
          <w:szCs w:val="24"/>
          <w:lang w:val="en-US"/>
        </w:rPr>
        <w:t>Affiliation</w:t>
      </w:r>
      <w:r w:rsidR="009254B1">
        <w:rPr>
          <w:rFonts w:eastAsia="Times New Roman"/>
          <w:i/>
          <w:sz w:val="24"/>
          <w:szCs w:val="24"/>
          <w:lang w:val="en-US"/>
        </w:rPr>
        <w:t xml:space="preserve">, including </w:t>
      </w:r>
      <w:r w:rsidR="001134B4" w:rsidRPr="001134B4">
        <w:rPr>
          <w:rFonts w:eastAsia="Times New Roman"/>
          <w:i/>
          <w:sz w:val="24"/>
          <w:szCs w:val="24"/>
          <w:lang w:val="en-US"/>
        </w:rPr>
        <w:t>full official name, full official address, including country and postal code</w:t>
      </w:r>
    </w:p>
    <w:p w:rsidR="002E6B5C" w:rsidRPr="005352DD" w:rsidRDefault="003F00D1" w:rsidP="00F8409C">
      <w:pPr>
        <w:spacing w:line="240" w:lineRule="exact"/>
        <w:rPr>
          <w:rFonts w:eastAsia="Times New Roman"/>
          <w:i/>
          <w:sz w:val="24"/>
          <w:szCs w:val="24"/>
          <w:lang w:val="en-US"/>
        </w:rPr>
      </w:pPr>
      <w:r>
        <w:rPr>
          <w:rFonts w:eastAsia="Times New Roman"/>
          <w:i/>
          <w:sz w:val="24"/>
          <w:szCs w:val="24"/>
          <w:vertAlign w:val="superscript"/>
          <w:lang w:val="en-US"/>
        </w:rPr>
        <w:t xml:space="preserve"> </w:t>
      </w:r>
      <w:proofErr w:type="gramStart"/>
      <w:r w:rsidR="005352DD">
        <w:rPr>
          <w:rFonts w:eastAsia="Times New Roman"/>
          <w:i/>
          <w:sz w:val="24"/>
          <w:szCs w:val="24"/>
          <w:vertAlign w:val="superscript"/>
          <w:lang w:val="en-US"/>
        </w:rPr>
        <w:t>b</w:t>
      </w:r>
      <w:proofErr w:type="gramEnd"/>
      <w:r w:rsidR="00FE6187" w:rsidRPr="005352DD">
        <w:rPr>
          <w:rFonts w:eastAsia="Times New Roman"/>
          <w:i/>
          <w:sz w:val="24"/>
          <w:szCs w:val="24"/>
          <w:lang w:val="en-US"/>
        </w:rPr>
        <w:t xml:space="preserve"> </w:t>
      </w:r>
      <w:r w:rsidR="0038132E">
        <w:rPr>
          <w:rFonts w:eastAsia="Times New Roman"/>
          <w:i/>
          <w:sz w:val="24"/>
          <w:szCs w:val="24"/>
          <w:lang w:val="en-US"/>
        </w:rPr>
        <w:t>Affiliation</w:t>
      </w:r>
      <w:r w:rsidR="009254B1">
        <w:rPr>
          <w:rFonts w:eastAsia="Times New Roman"/>
          <w:i/>
          <w:sz w:val="24"/>
          <w:szCs w:val="24"/>
          <w:lang w:val="en-US"/>
        </w:rPr>
        <w:t xml:space="preserve">, including </w:t>
      </w:r>
      <w:r w:rsidR="00F8409C" w:rsidRPr="00F8409C">
        <w:rPr>
          <w:rFonts w:eastAsia="Times New Roman"/>
          <w:i/>
          <w:sz w:val="24"/>
          <w:szCs w:val="24"/>
          <w:lang w:val="en-US"/>
        </w:rPr>
        <w:t>full official name, full official address, including country and postal code</w:t>
      </w:r>
    </w:p>
    <w:p w:rsidR="002E6B5C" w:rsidRDefault="005352DD" w:rsidP="005352DD">
      <w:pPr>
        <w:spacing w:line="240" w:lineRule="exact"/>
        <w:ind w:left="620" w:right="1340"/>
        <w:jc w:val="center"/>
        <w:rPr>
          <w:rFonts w:eastAsia="Times New Roman"/>
          <w:i/>
          <w:sz w:val="24"/>
          <w:szCs w:val="24"/>
          <w:lang w:val="en-US"/>
        </w:rPr>
      </w:pPr>
      <w:proofErr w:type="gramStart"/>
      <w:r>
        <w:rPr>
          <w:rFonts w:eastAsia="Times New Roman"/>
          <w:i/>
          <w:sz w:val="24"/>
          <w:szCs w:val="24"/>
          <w:vertAlign w:val="superscript"/>
          <w:lang w:val="en-US"/>
        </w:rPr>
        <w:t>c</w:t>
      </w:r>
      <w:proofErr w:type="gramEnd"/>
      <w:r w:rsidR="00FE6187" w:rsidRPr="005352DD">
        <w:rPr>
          <w:rFonts w:eastAsia="Times New Roman"/>
          <w:i/>
          <w:sz w:val="24"/>
          <w:szCs w:val="24"/>
          <w:lang w:val="en-US"/>
        </w:rPr>
        <w:t xml:space="preserve"> </w:t>
      </w:r>
      <w:r w:rsidR="0038132E">
        <w:rPr>
          <w:rFonts w:eastAsia="Times New Roman"/>
          <w:i/>
          <w:sz w:val="24"/>
          <w:szCs w:val="24"/>
          <w:lang w:val="en-US"/>
        </w:rPr>
        <w:t>Affiliation</w:t>
      </w:r>
      <w:r w:rsidR="009254B1">
        <w:rPr>
          <w:rFonts w:eastAsia="Times New Roman"/>
          <w:i/>
          <w:sz w:val="24"/>
          <w:szCs w:val="24"/>
          <w:lang w:val="en-US"/>
        </w:rPr>
        <w:t xml:space="preserve">, including </w:t>
      </w:r>
      <w:r w:rsidR="00F8409C" w:rsidRPr="00F8409C">
        <w:rPr>
          <w:rFonts w:eastAsia="Times New Roman"/>
          <w:i/>
          <w:sz w:val="24"/>
          <w:szCs w:val="24"/>
          <w:lang w:val="en-US"/>
        </w:rPr>
        <w:t>full official name, full official address, including country and postal code</w:t>
      </w:r>
    </w:p>
    <w:p w:rsidR="00F8409C" w:rsidRDefault="00F8409C" w:rsidP="005352DD">
      <w:pPr>
        <w:spacing w:line="240" w:lineRule="exact"/>
        <w:ind w:left="620" w:right="1340"/>
        <w:jc w:val="center"/>
        <w:rPr>
          <w:rFonts w:eastAsia="Times New Roman"/>
          <w:i/>
          <w:sz w:val="24"/>
          <w:szCs w:val="24"/>
          <w:vertAlign w:val="superscript"/>
          <w:lang w:val="en-US"/>
        </w:rPr>
      </w:pPr>
      <w:proofErr w:type="gramStart"/>
      <w:r>
        <w:rPr>
          <w:rFonts w:eastAsia="Times New Roman"/>
          <w:i/>
          <w:sz w:val="24"/>
          <w:szCs w:val="24"/>
          <w:vertAlign w:val="superscript"/>
          <w:lang w:val="en-US"/>
        </w:rPr>
        <w:t>d</w:t>
      </w:r>
      <w:proofErr w:type="gramEnd"/>
      <w:r>
        <w:rPr>
          <w:rFonts w:eastAsia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sz w:val="24"/>
          <w:szCs w:val="24"/>
          <w:lang w:val="en-US"/>
        </w:rPr>
        <w:t>Affiliation,</w:t>
      </w:r>
      <w:r w:rsidRPr="00F8409C">
        <w:rPr>
          <w:rFonts w:eastAsia="Times New Roman"/>
          <w:i/>
          <w:sz w:val="24"/>
          <w:szCs w:val="24"/>
          <w:lang w:val="en-US"/>
        </w:rPr>
        <w:t xml:space="preserve"> </w:t>
      </w:r>
      <w:r>
        <w:rPr>
          <w:rFonts w:eastAsia="Times New Roman"/>
          <w:i/>
          <w:sz w:val="24"/>
          <w:szCs w:val="24"/>
          <w:lang w:val="en-US"/>
        </w:rPr>
        <w:t xml:space="preserve">including </w:t>
      </w:r>
      <w:r w:rsidRPr="00F8409C">
        <w:rPr>
          <w:rFonts w:eastAsia="Times New Roman"/>
          <w:i/>
          <w:sz w:val="24"/>
          <w:szCs w:val="24"/>
          <w:lang w:val="en-US"/>
        </w:rPr>
        <w:t>full official name, full official address, including country and postal code</w:t>
      </w:r>
    </w:p>
    <w:p w:rsidR="00F8409C" w:rsidRPr="00F8409C" w:rsidRDefault="00F8409C" w:rsidP="005352DD">
      <w:pPr>
        <w:spacing w:line="240" w:lineRule="exact"/>
        <w:ind w:left="620" w:right="1340"/>
        <w:jc w:val="center"/>
        <w:rPr>
          <w:rFonts w:eastAsia="Times New Roman"/>
          <w:i/>
          <w:sz w:val="24"/>
          <w:szCs w:val="24"/>
          <w:lang w:val="en-US"/>
        </w:rPr>
      </w:pPr>
      <w:proofErr w:type="gramStart"/>
      <w:r>
        <w:rPr>
          <w:rFonts w:eastAsia="Times New Roman"/>
          <w:i/>
          <w:sz w:val="24"/>
          <w:szCs w:val="24"/>
          <w:vertAlign w:val="superscript"/>
          <w:lang w:val="en-US"/>
        </w:rPr>
        <w:t>e</w:t>
      </w:r>
      <w:proofErr w:type="gramEnd"/>
      <w:r>
        <w:rPr>
          <w:rFonts w:eastAsia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sz w:val="24"/>
          <w:szCs w:val="24"/>
          <w:lang w:val="en-US"/>
        </w:rPr>
        <w:t xml:space="preserve">Affiliation, including </w:t>
      </w:r>
      <w:r w:rsidRPr="00F8409C">
        <w:rPr>
          <w:rFonts w:eastAsia="Times New Roman"/>
          <w:i/>
          <w:sz w:val="24"/>
          <w:szCs w:val="24"/>
          <w:lang w:val="en-US"/>
        </w:rPr>
        <w:t>full official name, full official address, including country and postal code</w:t>
      </w:r>
    </w:p>
    <w:p w:rsidR="001134B4" w:rsidRPr="005352DD" w:rsidRDefault="001134B4" w:rsidP="005352DD">
      <w:pPr>
        <w:spacing w:line="240" w:lineRule="exact"/>
        <w:ind w:left="620" w:right="1340"/>
        <w:jc w:val="center"/>
        <w:rPr>
          <w:rFonts w:eastAsia="Times New Roman"/>
          <w:i/>
          <w:sz w:val="24"/>
          <w:szCs w:val="24"/>
          <w:lang w:val="en-US"/>
        </w:rPr>
      </w:pPr>
    </w:p>
    <w:p w:rsidR="002E6B5C" w:rsidRPr="005352DD" w:rsidRDefault="002E6B5C" w:rsidP="00626B22">
      <w:pPr>
        <w:spacing w:line="240" w:lineRule="exact"/>
        <w:rPr>
          <w:sz w:val="24"/>
          <w:szCs w:val="24"/>
          <w:lang w:val="en-US"/>
        </w:rPr>
      </w:pPr>
    </w:p>
    <w:p w:rsidR="0038132E" w:rsidRDefault="005352DD" w:rsidP="005352DD">
      <w:pPr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* e-mail: </w:t>
      </w:r>
    </w:p>
    <w:p w:rsidR="005352DD" w:rsidRPr="005352DD" w:rsidRDefault="005352DD" w:rsidP="005352DD">
      <w:pPr>
        <w:jc w:val="center"/>
        <w:rPr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** e-mail: </w:t>
      </w:r>
    </w:p>
    <w:p w:rsidR="005352DD" w:rsidRPr="005352DD" w:rsidRDefault="005352DD" w:rsidP="005352DD">
      <w:pPr>
        <w:jc w:val="center"/>
        <w:rPr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*** e-mail: </w:t>
      </w:r>
      <w:r w:rsidRPr="005352DD">
        <w:rPr>
          <w:rFonts w:eastAsia="Times New Roman"/>
          <w:sz w:val="24"/>
          <w:szCs w:val="24"/>
          <w:lang w:val="en-US"/>
        </w:rPr>
        <w:t xml:space="preserve"> </w:t>
      </w:r>
    </w:p>
    <w:p w:rsidR="005352DD" w:rsidRPr="005352DD" w:rsidRDefault="005352DD" w:rsidP="005352DD">
      <w:pPr>
        <w:jc w:val="center"/>
        <w:rPr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**** e-mail: </w:t>
      </w:r>
    </w:p>
    <w:p w:rsidR="005352DD" w:rsidRPr="005352DD" w:rsidRDefault="005352DD" w:rsidP="005352DD">
      <w:pPr>
        <w:jc w:val="center"/>
        <w:rPr>
          <w:lang w:val="en-US"/>
        </w:rPr>
      </w:pPr>
      <w:r>
        <w:rPr>
          <w:rFonts w:eastAsia="Times New Roman"/>
          <w:sz w:val="24"/>
          <w:szCs w:val="24"/>
          <w:lang w:val="en-US"/>
        </w:rPr>
        <w:t>***** e-mail</w:t>
      </w:r>
      <w:r w:rsidRPr="005352DD">
        <w:rPr>
          <w:rFonts w:eastAsia="Times New Roman"/>
          <w:sz w:val="24"/>
          <w:szCs w:val="24"/>
          <w:lang w:val="en-US"/>
        </w:rPr>
        <w:t xml:space="preserve">: </w:t>
      </w:r>
    </w:p>
    <w:p w:rsidR="004B2637" w:rsidRPr="005352DD" w:rsidRDefault="004B2637" w:rsidP="00626B22">
      <w:pPr>
        <w:spacing w:line="240" w:lineRule="exact"/>
        <w:rPr>
          <w:sz w:val="24"/>
          <w:szCs w:val="24"/>
          <w:lang w:val="en-US"/>
        </w:rPr>
      </w:pPr>
    </w:p>
    <w:p w:rsidR="002E6B5C" w:rsidRPr="00504167" w:rsidRDefault="005352DD" w:rsidP="00504167">
      <w:pPr>
        <w:spacing w:line="240" w:lineRule="exact"/>
        <w:rPr>
          <w:i/>
          <w:sz w:val="24"/>
          <w:szCs w:val="24"/>
          <w:lang w:val="en-US"/>
        </w:rPr>
      </w:pPr>
      <w:r w:rsidRPr="005352DD">
        <w:rPr>
          <w:rFonts w:eastAsia="Calibri"/>
          <w:b/>
          <w:sz w:val="24"/>
          <w:szCs w:val="24"/>
          <w:lang w:val="en-US"/>
        </w:rPr>
        <w:t>Abstract</w:t>
      </w:r>
      <w:r w:rsidR="00A2201F">
        <w:rPr>
          <w:rFonts w:eastAsia="Calibri"/>
          <w:sz w:val="24"/>
          <w:szCs w:val="24"/>
          <w:lang w:val="en-US"/>
        </w:rPr>
        <w:t>—</w:t>
      </w:r>
      <w:r w:rsidR="00F8409C">
        <w:rPr>
          <w:rFonts w:eastAsia="Calibri"/>
          <w:sz w:val="24"/>
          <w:szCs w:val="24"/>
          <w:lang w:val="en-US"/>
        </w:rPr>
        <w:t xml:space="preserve"> (</w:t>
      </w:r>
      <w:r w:rsidR="00F8409C" w:rsidRPr="00F8409C">
        <w:rPr>
          <w:rFonts w:eastAsia="Calibri"/>
          <w:sz w:val="24"/>
          <w:szCs w:val="24"/>
          <w:lang w:val="en-US"/>
        </w:rPr>
        <w:t>maximum of 3,600 characters with spaces</w:t>
      </w:r>
      <w:r w:rsidR="00504167" w:rsidRPr="00504167">
        <w:rPr>
          <w:rFonts w:eastAsia="Calibri"/>
          <w:sz w:val="24"/>
          <w:szCs w:val="24"/>
          <w:lang w:val="en-US"/>
        </w:rPr>
        <w:t xml:space="preserve">, </w:t>
      </w:r>
      <w:r w:rsidR="00504167">
        <w:rPr>
          <w:rFonts w:eastAsia="Arial"/>
          <w:bCs/>
          <w:i/>
          <w:sz w:val="24"/>
          <w:szCs w:val="24"/>
          <w:lang w:val="en-US"/>
        </w:rPr>
        <w:t>no abbreviations</w:t>
      </w:r>
      <w:r w:rsidR="00504167" w:rsidRPr="00504167">
        <w:rPr>
          <w:i/>
          <w:sz w:val="24"/>
          <w:szCs w:val="24"/>
          <w:lang w:val="en-US"/>
        </w:rPr>
        <w:t>)</w:t>
      </w:r>
    </w:p>
    <w:p w:rsidR="002E6B5C" w:rsidRPr="00626B22" w:rsidRDefault="002E6B5C" w:rsidP="00626B22">
      <w:pPr>
        <w:spacing w:line="240" w:lineRule="exact"/>
        <w:rPr>
          <w:sz w:val="24"/>
          <w:szCs w:val="24"/>
          <w:lang w:val="en-US"/>
        </w:rPr>
      </w:pPr>
    </w:p>
    <w:p w:rsidR="00C02BE8" w:rsidRDefault="00C02BE8" w:rsidP="00C02BE8">
      <w:pPr>
        <w:spacing w:line="240" w:lineRule="exact"/>
        <w:rPr>
          <w:rFonts w:eastAsia="Times New Roman"/>
          <w:i/>
          <w:iCs/>
          <w:sz w:val="24"/>
          <w:szCs w:val="24"/>
          <w:lang w:val="en-US"/>
        </w:rPr>
      </w:pPr>
      <w:r w:rsidRPr="00A7783C">
        <w:rPr>
          <w:rFonts w:eastAsia="Times New Roman"/>
          <w:i/>
          <w:iCs/>
          <w:sz w:val="24"/>
          <w:szCs w:val="24"/>
          <w:lang w:val="en-US"/>
        </w:rPr>
        <w:t>Keywords</w:t>
      </w:r>
      <w:r w:rsidR="00A2201F">
        <w:rPr>
          <w:rFonts w:eastAsia="Times New Roman"/>
          <w:i/>
          <w:iCs/>
          <w:sz w:val="24"/>
          <w:szCs w:val="24"/>
          <w:lang w:val="en-US"/>
        </w:rPr>
        <w:t>:</w:t>
      </w:r>
      <w:r w:rsidR="00F8409C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="00F8409C" w:rsidRPr="00F8409C">
        <w:rPr>
          <w:rFonts w:eastAsia="Times New Roman"/>
          <w:iCs/>
          <w:sz w:val="24"/>
          <w:szCs w:val="24"/>
          <w:lang w:val="en-US"/>
        </w:rPr>
        <w:t>(no more than 15</w:t>
      </w:r>
      <w:r w:rsidR="00504167" w:rsidRPr="00DF4BF3">
        <w:rPr>
          <w:rFonts w:eastAsia="Times New Roman"/>
          <w:iCs/>
          <w:sz w:val="24"/>
          <w:szCs w:val="24"/>
          <w:lang w:val="en-US"/>
        </w:rPr>
        <w:t xml:space="preserve">, </w:t>
      </w:r>
      <w:r w:rsidR="00504167">
        <w:rPr>
          <w:rFonts w:eastAsia="Arial"/>
          <w:bCs/>
          <w:i/>
          <w:sz w:val="24"/>
          <w:szCs w:val="24"/>
          <w:lang w:val="en-US"/>
        </w:rPr>
        <w:t>no abbreviations</w:t>
      </w:r>
      <w:r w:rsidR="00F8409C" w:rsidRPr="00F8409C">
        <w:rPr>
          <w:rFonts w:eastAsia="Times New Roman"/>
          <w:iCs/>
          <w:sz w:val="24"/>
          <w:szCs w:val="24"/>
          <w:lang w:val="en-US"/>
        </w:rPr>
        <w:t>)</w:t>
      </w:r>
    </w:p>
    <w:p w:rsidR="00450373" w:rsidRDefault="00450373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</w:p>
    <w:p w:rsidR="00A2201F" w:rsidRPr="00A2201F" w:rsidRDefault="00A2201F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 w:rsidRPr="00A2201F">
        <w:rPr>
          <w:rFonts w:eastAsia="Times New Roman"/>
          <w:b/>
          <w:iCs/>
          <w:sz w:val="24"/>
          <w:szCs w:val="24"/>
          <w:lang w:val="en-US"/>
        </w:rPr>
        <w:t>INTRODUCTION</w:t>
      </w:r>
    </w:p>
    <w:p w:rsidR="00A2201F" w:rsidRDefault="00A2201F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</w:p>
    <w:p w:rsidR="00A2201F" w:rsidRPr="00F8409C" w:rsidRDefault="00F8409C" w:rsidP="00C02BE8">
      <w:pPr>
        <w:spacing w:line="240" w:lineRule="exact"/>
        <w:rPr>
          <w:rFonts w:eastAsia="Times New Roman"/>
          <w:b/>
          <w:iCs/>
          <w:caps/>
          <w:sz w:val="24"/>
          <w:szCs w:val="24"/>
          <w:lang w:val="en-US"/>
        </w:rPr>
      </w:pPr>
      <w:r w:rsidRPr="00F8409C">
        <w:rPr>
          <w:rFonts w:eastAsia="Times New Roman"/>
          <w:b/>
          <w:iCs/>
          <w:caps/>
          <w:sz w:val="24"/>
          <w:szCs w:val="24"/>
          <w:lang w:val="en-US"/>
        </w:rPr>
        <w:t>Paragraphs/sections of the article</w:t>
      </w:r>
    </w:p>
    <w:p w:rsidR="00F8409C" w:rsidRDefault="00F8409C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</w:p>
    <w:p w:rsidR="00A2201F" w:rsidRDefault="00A2201F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>
        <w:rPr>
          <w:rFonts w:eastAsia="Times New Roman"/>
          <w:b/>
          <w:iCs/>
          <w:sz w:val="24"/>
          <w:szCs w:val="24"/>
          <w:lang w:val="en-US"/>
        </w:rPr>
        <w:t>CONCLUSION</w:t>
      </w:r>
      <w:r w:rsidR="003F00D1">
        <w:rPr>
          <w:rFonts w:eastAsia="Times New Roman"/>
          <w:b/>
          <w:iCs/>
          <w:sz w:val="24"/>
          <w:szCs w:val="24"/>
          <w:lang w:val="en-US"/>
        </w:rPr>
        <w:t>S</w:t>
      </w:r>
    </w:p>
    <w:p w:rsidR="003F00D1" w:rsidRDefault="003F00D1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</w:p>
    <w:p w:rsidR="003F00D1" w:rsidRDefault="003F00D1" w:rsidP="003F00D1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>
        <w:rPr>
          <w:rFonts w:eastAsia="Times New Roman"/>
          <w:b/>
          <w:iCs/>
          <w:sz w:val="24"/>
          <w:szCs w:val="24"/>
          <w:lang w:val="en-US"/>
        </w:rPr>
        <w:t>ACKNOWLEDGEMENTS</w:t>
      </w:r>
    </w:p>
    <w:p w:rsidR="003F00D1" w:rsidRDefault="000E427E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  <w:r>
        <w:rPr>
          <w:rFonts w:eastAsia="Times New Roman"/>
          <w:iCs/>
          <w:sz w:val="24"/>
          <w:szCs w:val="24"/>
          <w:lang w:val="en-US"/>
        </w:rPr>
        <w:t>Recommended text:</w:t>
      </w:r>
      <w:r w:rsidRPr="000E427E">
        <w:rPr>
          <w:rFonts w:eastAsia="Times New Roman"/>
          <w:iCs/>
          <w:sz w:val="24"/>
          <w:szCs w:val="24"/>
          <w:lang w:val="en-US"/>
        </w:rPr>
        <w:t xml:space="preserve"> "</w:t>
      </w:r>
      <w:r>
        <w:rPr>
          <w:rFonts w:eastAsia="Times New Roman"/>
          <w:iCs/>
          <w:sz w:val="24"/>
          <w:szCs w:val="24"/>
          <w:lang w:val="en-US"/>
        </w:rPr>
        <w:t>The author</w:t>
      </w:r>
      <w:r w:rsidRPr="000E427E">
        <w:rPr>
          <w:rFonts w:eastAsia="Times New Roman"/>
          <w:iCs/>
          <w:sz w:val="24"/>
          <w:szCs w:val="24"/>
          <w:lang w:val="en-US"/>
        </w:rPr>
        <w:t xml:space="preserve">(s) </w:t>
      </w:r>
      <w:proofErr w:type="gramStart"/>
      <w:r w:rsidR="00526DA3">
        <w:rPr>
          <w:rFonts w:eastAsia="Times New Roman"/>
          <w:iCs/>
          <w:sz w:val="24"/>
          <w:szCs w:val="24"/>
          <w:lang w:val="en-US"/>
        </w:rPr>
        <w:t>express</w:t>
      </w:r>
      <w:r w:rsidR="00526DA3" w:rsidRPr="000E427E">
        <w:rPr>
          <w:rFonts w:eastAsia="Times New Roman"/>
          <w:iCs/>
          <w:sz w:val="24"/>
          <w:szCs w:val="24"/>
          <w:lang w:val="en-US"/>
        </w:rPr>
        <w:t>(</w:t>
      </w:r>
      <w:proofErr w:type="spellStart"/>
      <w:proofErr w:type="gramEnd"/>
      <w:r w:rsidRPr="000E427E">
        <w:rPr>
          <w:rFonts w:eastAsia="Times New Roman"/>
          <w:iCs/>
          <w:sz w:val="24"/>
          <w:szCs w:val="24"/>
          <w:lang w:val="en-US"/>
        </w:rPr>
        <w:t>es</w:t>
      </w:r>
      <w:proofErr w:type="spellEnd"/>
      <w:r w:rsidRPr="000E427E">
        <w:rPr>
          <w:rFonts w:eastAsia="Times New Roman"/>
          <w:iCs/>
          <w:sz w:val="24"/>
          <w:szCs w:val="24"/>
          <w:lang w:val="en-US"/>
        </w:rPr>
        <w:t>) gratitude "to whom, for what"</w:t>
      </w:r>
    </w:p>
    <w:p w:rsidR="000E427E" w:rsidRDefault="000E427E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</w:p>
    <w:p w:rsidR="003F00D1" w:rsidRPr="0081035B" w:rsidRDefault="003F00D1" w:rsidP="0081035B">
      <w:pPr>
        <w:tabs>
          <w:tab w:val="left" w:pos="1855"/>
        </w:tabs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 w:rsidRPr="0081035B">
        <w:rPr>
          <w:rFonts w:eastAsia="Times New Roman"/>
          <w:b/>
          <w:iCs/>
          <w:sz w:val="24"/>
          <w:szCs w:val="24"/>
          <w:lang w:val="en-US"/>
        </w:rPr>
        <w:t>FUNDING</w:t>
      </w:r>
      <w:r w:rsidR="0081035B">
        <w:rPr>
          <w:rFonts w:eastAsia="Times New Roman"/>
          <w:b/>
          <w:iCs/>
          <w:sz w:val="24"/>
          <w:szCs w:val="24"/>
          <w:lang w:val="en-US"/>
        </w:rPr>
        <w:tab/>
      </w:r>
    </w:p>
    <w:p w:rsidR="00A2201F" w:rsidRPr="00CC215C" w:rsidRDefault="00433A6C" w:rsidP="00C02BE8">
      <w:pPr>
        <w:spacing w:line="240" w:lineRule="exact"/>
        <w:rPr>
          <w:rFonts w:eastAsia="Times New Roman"/>
          <w:iCs/>
          <w:color w:val="0070C0"/>
          <w:sz w:val="24"/>
          <w:szCs w:val="24"/>
          <w:lang w:val="en-US"/>
        </w:rPr>
      </w:pPr>
      <w:r w:rsidRPr="000E427E">
        <w:rPr>
          <w:rFonts w:eastAsia="Times New Roman"/>
          <w:iCs/>
          <w:sz w:val="24"/>
          <w:szCs w:val="24"/>
          <w:lang w:val="en-US"/>
        </w:rPr>
        <w:t xml:space="preserve">In the "Funding" </w:t>
      </w:r>
      <w:proofErr w:type="gramStart"/>
      <w:r w:rsidRPr="000E427E">
        <w:rPr>
          <w:rFonts w:eastAsia="Times New Roman"/>
          <w:iCs/>
          <w:sz w:val="24"/>
          <w:szCs w:val="24"/>
          <w:lang w:val="en-US"/>
        </w:rPr>
        <w:t>section</w:t>
      </w:r>
      <w:proofErr w:type="gramEnd"/>
      <w:r w:rsidR="00CC215C" w:rsidRPr="000E427E">
        <w:rPr>
          <w:rFonts w:eastAsia="Times New Roman"/>
          <w:iCs/>
          <w:sz w:val="24"/>
          <w:szCs w:val="24"/>
          <w:lang w:val="en-US"/>
        </w:rPr>
        <w:t xml:space="preserve"> it is recommended to specify the organizations/grants whose financial support was used when writing the article.</w:t>
      </w:r>
    </w:p>
    <w:p w:rsidR="00CC215C" w:rsidRDefault="00CC215C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</w:p>
    <w:p w:rsidR="00A2201F" w:rsidRDefault="00A2201F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 w:rsidRPr="003F00D1">
        <w:rPr>
          <w:rFonts w:eastAsia="Times New Roman"/>
          <w:b/>
          <w:iCs/>
          <w:sz w:val="24"/>
          <w:szCs w:val="24"/>
          <w:lang w:val="en-US"/>
        </w:rPr>
        <w:t>CONFLICT OF INTERESTS</w:t>
      </w:r>
    </w:p>
    <w:p w:rsidR="00A2201F" w:rsidRPr="00422CBC" w:rsidRDefault="00DF4BF3" w:rsidP="00C02BE8">
      <w:pPr>
        <w:spacing w:line="240" w:lineRule="exact"/>
        <w:rPr>
          <w:rFonts w:eastAsia="Times New Roman"/>
          <w:iCs/>
          <w:sz w:val="24"/>
          <w:szCs w:val="24"/>
          <w:lang w:val="en-US"/>
        </w:rPr>
      </w:pPr>
      <w:r>
        <w:rPr>
          <w:rFonts w:eastAsia="Times New Roman"/>
          <w:iCs/>
          <w:sz w:val="24"/>
          <w:szCs w:val="24"/>
          <w:lang w:val="en-US"/>
        </w:rPr>
        <w:t>T</w:t>
      </w:r>
      <w:r w:rsidR="00422CBC">
        <w:rPr>
          <w:rFonts w:eastAsia="Times New Roman"/>
          <w:iCs/>
          <w:sz w:val="24"/>
          <w:szCs w:val="24"/>
          <w:lang w:val="en-US"/>
        </w:rPr>
        <w:t>ext: "</w:t>
      </w:r>
      <w:r w:rsidR="00422CBC" w:rsidRPr="00422CBC">
        <w:rPr>
          <w:rFonts w:eastAsia="Times New Roman"/>
          <w:iCs/>
          <w:sz w:val="24"/>
          <w:szCs w:val="24"/>
          <w:lang w:val="en-US"/>
        </w:rPr>
        <w:t>The process of writing and the content of the article does not give grounds for raising the issue of a conflict of interest"</w:t>
      </w:r>
      <w:r w:rsidR="00526DA3" w:rsidRPr="00422CBC">
        <w:rPr>
          <w:rFonts w:eastAsia="Times New Roman"/>
          <w:iCs/>
          <w:sz w:val="24"/>
          <w:szCs w:val="24"/>
          <w:lang w:val="en-US"/>
        </w:rPr>
        <w:t>.</w:t>
      </w:r>
      <w:r w:rsidR="00422CBC" w:rsidRPr="00422CBC">
        <w:rPr>
          <w:rFonts w:eastAsia="Times New Roman"/>
          <w:iCs/>
          <w:sz w:val="24"/>
          <w:szCs w:val="24"/>
          <w:lang w:val="en-US"/>
        </w:rPr>
        <w:t xml:space="preserve"> </w:t>
      </w:r>
    </w:p>
    <w:p w:rsidR="00422CBC" w:rsidRPr="00422CBC" w:rsidRDefault="00422CBC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</w:p>
    <w:p w:rsidR="00A2201F" w:rsidRDefault="00A2201F" w:rsidP="003F00D1">
      <w:pPr>
        <w:spacing w:line="240" w:lineRule="exact"/>
        <w:rPr>
          <w:b/>
          <w:sz w:val="24"/>
          <w:szCs w:val="24"/>
          <w:lang w:val="en-US"/>
        </w:rPr>
      </w:pPr>
      <w:r w:rsidRPr="003F00D1">
        <w:rPr>
          <w:b/>
          <w:sz w:val="24"/>
          <w:szCs w:val="24"/>
          <w:lang w:val="en-US"/>
        </w:rPr>
        <w:t xml:space="preserve">COMPLIANCE WITH </w:t>
      </w:r>
      <w:r w:rsidR="003F00D1" w:rsidRPr="003F00D1">
        <w:rPr>
          <w:b/>
          <w:sz w:val="24"/>
          <w:szCs w:val="24"/>
          <w:lang w:val="en-US"/>
        </w:rPr>
        <w:t>ETHICAL STANDARDS</w:t>
      </w:r>
    </w:p>
    <w:p w:rsidR="003F00D1" w:rsidRPr="00422CBC" w:rsidRDefault="00DF4BF3" w:rsidP="003F00D1">
      <w:pPr>
        <w:spacing w:line="24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22CBC" w:rsidRPr="00422CBC">
        <w:rPr>
          <w:sz w:val="24"/>
          <w:szCs w:val="24"/>
          <w:lang w:val="en-US"/>
        </w:rPr>
        <w:t>ext: "This article is a completely original work of its authors;</w:t>
      </w:r>
      <w:r w:rsidR="00422CBC">
        <w:rPr>
          <w:sz w:val="24"/>
          <w:szCs w:val="24"/>
          <w:lang w:val="en-US"/>
        </w:rPr>
        <w:t xml:space="preserve"> it</w:t>
      </w:r>
      <w:r w:rsidR="00422CBC" w:rsidRPr="00422CBC">
        <w:rPr>
          <w:sz w:val="24"/>
          <w:szCs w:val="24"/>
          <w:lang w:val="en-US"/>
        </w:rPr>
        <w:t xml:space="preserve"> has not been published befor</w:t>
      </w:r>
      <w:r w:rsidR="00422CBC">
        <w:rPr>
          <w:sz w:val="24"/>
          <w:szCs w:val="24"/>
          <w:lang w:val="en-US"/>
        </w:rPr>
        <w:t>e and will not be sent to other publications</w:t>
      </w:r>
      <w:r w:rsidR="00422CBC" w:rsidRPr="00422CBC">
        <w:rPr>
          <w:sz w:val="24"/>
          <w:szCs w:val="24"/>
          <w:lang w:val="en-US"/>
        </w:rPr>
        <w:t xml:space="preserve"> until the PRIA editorial board decides not to accept it for publication</w:t>
      </w:r>
      <w:r w:rsidR="00422CBC">
        <w:rPr>
          <w:rFonts w:eastAsia="Times New Roman"/>
          <w:iCs/>
          <w:sz w:val="24"/>
          <w:szCs w:val="24"/>
          <w:lang w:val="en-US"/>
        </w:rPr>
        <w:t>"</w:t>
      </w:r>
      <w:r w:rsidR="00422CBC" w:rsidRPr="00422CBC">
        <w:rPr>
          <w:rFonts w:eastAsia="Times New Roman"/>
          <w:iCs/>
          <w:sz w:val="24"/>
          <w:szCs w:val="24"/>
          <w:lang w:val="en-US"/>
        </w:rPr>
        <w:t>.</w:t>
      </w:r>
    </w:p>
    <w:p w:rsidR="00422CBC" w:rsidRPr="003F00D1" w:rsidRDefault="00422CBC" w:rsidP="003F00D1">
      <w:pPr>
        <w:spacing w:line="240" w:lineRule="exact"/>
        <w:rPr>
          <w:b/>
          <w:sz w:val="24"/>
          <w:szCs w:val="24"/>
          <w:lang w:val="en-US"/>
        </w:rPr>
      </w:pPr>
    </w:p>
    <w:p w:rsidR="00DF4BF3" w:rsidRDefault="00A2201F" w:rsidP="00C02BE8">
      <w:pPr>
        <w:spacing w:line="240" w:lineRule="exact"/>
        <w:rPr>
          <w:b/>
          <w:sz w:val="24"/>
          <w:szCs w:val="24"/>
          <w:lang w:val="en-US"/>
        </w:rPr>
      </w:pPr>
      <w:r w:rsidRPr="003F00D1">
        <w:rPr>
          <w:b/>
          <w:sz w:val="24"/>
          <w:szCs w:val="24"/>
          <w:lang w:val="en-US"/>
        </w:rPr>
        <w:t>REFERENCES</w:t>
      </w:r>
    </w:p>
    <w:p w:rsidR="00DF4BF3" w:rsidRDefault="00DF4BF3" w:rsidP="00C02BE8">
      <w:pPr>
        <w:spacing w:line="240" w:lineRule="exact"/>
        <w:rPr>
          <w:sz w:val="24"/>
          <w:szCs w:val="24"/>
          <w:lang w:val="en-US"/>
        </w:rPr>
      </w:pPr>
      <w:r w:rsidRPr="00DF4BF3">
        <w:rPr>
          <w:sz w:val="24"/>
          <w:szCs w:val="24"/>
          <w:lang w:val="en-US"/>
        </w:rPr>
        <w:t>(</w:t>
      </w:r>
      <w:r w:rsidRPr="00DF4BF3">
        <w:rPr>
          <w:i/>
          <w:sz w:val="24"/>
          <w:szCs w:val="24"/>
          <w:lang w:val="en-US"/>
        </w:rPr>
        <w:t xml:space="preserve">We present an example of the correct design of the list of references. </w:t>
      </w:r>
      <w:r>
        <w:rPr>
          <w:i/>
          <w:sz w:val="24"/>
          <w:szCs w:val="24"/>
          <w:lang w:val="en-US"/>
        </w:rPr>
        <w:t>By</w:t>
      </w:r>
      <w:r w:rsidRPr="00DF4BF3">
        <w:rPr>
          <w:i/>
          <w:sz w:val="24"/>
          <w:szCs w:val="24"/>
          <w:lang w:val="en-US"/>
        </w:rPr>
        <w:t xml:space="preserve"> the INSTRUCTIONS FOR AUTHORS, sources are ordered and numbered according to the surname and initials of the first author in the English transcription (with the name / initials indicated before the surname). If possible, the DOI of the article is indicated.</w:t>
      </w:r>
      <w:r w:rsidRPr="00DF4BF3">
        <w:rPr>
          <w:sz w:val="24"/>
          <w:szCs w:val="24"/>
          <w:lang w:val="en-US"/>
        </w:rPr>
        <w:t>)</w:t>
      </w:r>
    </w:p>
    <w:p w:rsidR="00DF4BF3" w:rsidRDefault="00DF4BF3" w:rsidP="00C02BE8">
      <w:pPr>
        <w:spacing w:line="240" w:lineRule="exact"/>
        <w:rPr>
          <w:sz w:val="24"/>
          <w:szCs w:val="24"/>
          <w:lang w:val="en-US"/>
        </w:rPr>
      </w:pPr>
      <w:bookmarkStart w:id="0" w:name="_GoBack"/>
      <w:bookmarkEnd w:id="0"/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N. Cheung, P. Mitchell, and T. Y. Wong, “Diabetic retinopathy,” Lancet </w:t>
      </w:r>
      <w:r w:rsidRPr="001B3D21">
        <w:rPr>
          <w:bCs/>
          <w:lang w:val="en-US"/>
        </w:rPr>
        <w:t>376</w:t>
      </w:r>
      <w:r w:rsidRPr="001B3D21">
        <w:rPr>
          <w:lang w:val="en-US"/>
        </w:rPr>
        <w:t xml:space="preserve">, 124–146 (2010). </w:t>
      </w:r>
      <w:hyperlink r:id="rId5" w:history="1">
        <w:r w:rsidRPr="001B3D21">
          <w:rPr>
            <w:rStyle w:val="a3"/>
            <w:color w:val="auto"/>
            <w:u w:val="none"/>
            <w:lang w:val="en-US"/>
          </w:rPr>
          <w:t>https://doi.org/10.1016/S0140-6736(09)62124-3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Z. Chu et al., “Quantitative assessment of the retinal microvasculature using optical coherence tomography angiography,” J. Biomed. Opt. </w:t>
      </w:r>
      <w:r w:rsidRPr="001B3D21">
        <w:rPr>
          <w:bCs/>
          <w:lang w:val="en-US"/>
        </w:rPr>
        <w:t>21</w:t>
      </w:r>
      <w:r w:rsidRPr="001B3D21">
        <w:rPr>
          <w:lang w:val="en-US"/>
        </w:rPr>
        <w:t xml:space="preserve"> (6), 066008 (2016).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</w:t>
      </w:r>
      <w:proofErr w:type="spellStart"/>
      <w:r w:rsidRPr="001B3D21">
        <w:rPr>
          <w:lang w:val="en-US"/>
        </w:rPr>
        <w:t>Dedov</w:t>
      </w:r>
      <w:proofErr w:type="spellEnd"/>
      <w:r w:rsidRPr="001B3D21">
        <w:rPr>
          <w:lang w:val="en-US"/>
        </w:rPr>
        <w:t xml:space="preserve">, M. </w:t>
      </w:r>
      <w:proofErr w:type="spellStart"/>
      <w:r w:rsidRPr="001B3D21">
        <w:rPr>
          <w:lang w:val="en-US"/>
        </w:rPr>
        <w:t>Shestakova</w:t>
      </w:r>
      <w:proofErr w:type="spellEnd"/>
      <w:r w:rsidRPr="001B3D21">
        <w:rPr>
          <w:lang w:val="en-US"/>
        </w:rPr>
        <w:t xml:space="preserve">, and O. </w:t>
      </w:r>
      <w:proofErr w:type="spellStart"/>
      <w:r w:rsidRPr="001B3D21">
        <w:rPr>
          <w:lang w:val="en-US"/>
        </w:rPr>
        <w:t>Vikulova</w:t>
      </w:r>
      <w:proofErr w:type="spellEnd"/>
      <w:r w:rsidRPr="001B3D21">
        <w:rPr>
          <w:lang w:val="en-US"/>
        </w:rPr>
        <w:t xml:space="preserve">, “Epidemiology of diabetes mellitus in Russian Federation: Clinical and statistical report according to the federal diabetes registry,” Diabetes Mellitus </w:t>
      </w:r>
      <w:r w:rsidRPr="001B3D21">
        <w:rPr>
          <w:bCs/>
          <w:lang w:val="en-US"/>
        </w:rPr>
        <w:t>20</w:t>
      </w:r>
      <w:r w:rsidRPr="001B3D21">
        <w:rPr>
          <w:lang w:val="en-US"/>
        </w:rPr>
        <w:t xml:space="preserve"> (1), 13–41 (2017).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lastRenderedPageBreak/>
        <w:t xml:space="preserve">D. S. Fong, J. Gottlieb, F. L. Ferris, and R. Klein, “Understanding the value of diabetic retinopathy screening,” Arch.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119</w:t>
      </w:r>
      <w:proofErr w:type="gramEnd"/>
      <w:r w:rsidRPr="001B3D21">
        <w:rPr>
          <w:lang w:val="en-US"/>
        </w:rPr>
        <w:t xml:space="preserve"> (5), 758–760 (2001). </w:t>
      </w:r>
      <w:hyperlink r:id="rId6" w:history="1">
        <w:r w:rsidRPr="001B3D21">
          <w:rPr>
            <w:rStyle w:val="a3"/>
            <w:color w:val="auto"/>
            <w:u w:val="none"/>
            <w:lang w:val="en-US"/>
          </w:rPr>
          <w:t>https://doi.org/10.1001/archopht.15.758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D. </w:t>
      </w:r>
      <w:proofErr w:type="spellStart"/>
      <w:r w:rsidRPr="001B3D21">
        <w:rPr>
          <w:lang w:val="en-US"/>
        </w:rPr>
        <w:t>Gildea</w:t>
      </w:r>
      <w:proofErr w:type="spellEnd"/>
      <w:r w:rsidRPr="001B3D21">
        <w:rPr>
          <w:lang w:val="en-US"/>
        </w:rPr>
        <w:t xml:space="preserve">, “The diagnostic value of optical coherence tomography angiography </w:t>
      </w:r>
      <w:proofErr w:type="spellStart"/>
      <w:r w:rsidRPr="001B3D21">
        <w:rPr>
          <w:lang w:val="en-US"/>
        </w:rPr>
        <w:t>indiabetic</w:t>
      </w:r>
      <w:proofErr w:type="spellEnd"/>
      <w:r w:rsidRPr="001B3D21">
        <w:rPr>
          <w:lang w:val="en-US"/>
        </w:rPr>
        <w:t xml:space="preserve"> retinopathy: A systematic review,” Int.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39</w:t>
      </w:r>
      <w:proofErr w:type="gramEnd"/>
      <w:r w:rsidRPr="001B3D21">
        <w:rPr>
          <w:lang w:val="en-US"/>
        </w:rPr>
        <w:t xml:space="preserve"> (10), 2413–2433 (2019). </w:t>
      </w:r>
      <w:hyperlink r:id="rId7" w:history="1">
        <w:r w:rsidRPr="001B3D21">
          <w:rPr>
            <w:rStyle w:val="a3"/>
            <w:color w:val="auto"/>
            <w:u w:val="none"/>
            <w:lang w:val="en-US"/>
          </w:rPr>
          <w:t>https://doi.org/10.1007/s10792-018-1034-8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D. V. </w:t>
      </w:r>
      <w:proofErr w:type="spellStart"/>
      <w:r w:rsidRPr="001B3D21">
        <w:rPr>
          <w:lang w:val="en-US"/>
        </w:rPr>
        <w:t>Harazishvili</w:t>
      </w:r>
      <w:proofErr w:type="spellEnd"/>
      <w:r w:rsidRPr="001B3D21">
        <w:rPr>
          <w:lang w:val="en-US"/>
        </w:rPr>
        <w:t xml:space="preserve">, O. </w:t>
      </w:r>
      <w:proofErr w:type="spellStart"/>
      <w:r w:rsidRPr="001B3D21">
        <w:rPr>
          <w:lang w:val="en-US"/>
        </w:rPr>
        <w:t>Salvetti</w:t>
      </w:r>
      <w:proofErr w:type="spellEnd"/>
      <w:r w:rsidRPr="001B3D21">
        <w:rPr>
          <w:lang w:val="en-US"/>
        </w:rPr>
        <w:t>, A. A. </w:t>
      </w:r>
      <w:proofErr w:type="spellStart"/>
      <w:r w:rsidRPr="001B3D21">
        <w:rPr>
          <w:lang w:val="en-US"/>
        </w:rPr>
        <w:t>Trykova</w:t>
      </w:r>
      <w:proofErr w:type="spellEnd"/>
      <w:r w:rsidRPr="001B3D21">
        <w:rPr>
          <w:lang w:val="en-US"/>
        </w:rPr>
        <w:t xml:space="preserve">, and I. A. </w:t>
      </w:r>
      <w:proofErr w:type="spellStart"/>
      <w:r w:rsidRPr="001B3D21">
        <w:rPr>
          <w:lang w:val="en-US"/>
        </w:rPr>
        <w:t>Vorob’ev</w:t>
      </w:r>
      <w:proofErr w:type="spellEnd"/>
      <w:r w:rsidRPr="001B3D21">
        <w:rPr>
          <w:lang w:val="en-US"/>
        </w:rPr>
        <w:t xml:space="preserve">, “Elements of the information technology of cytological specimens analysis: Taxonomy and factor analysis,”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16</w:t>
      </w:r>
      <w:proofErr w:type="gramEnd"/>
      <w:r w:rsidRPr="001B3D21">
        <w:rPr>
          <w:lang w:val="en-US"/>
        </w:rPr>
        <w:t xml:space="preserve"> (1), 114–116 (2006).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V. V.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S. V. </w:t>
      </w:r>
      <w:proofErr w:type="spellStart"/>
      <w:r w:rsidRPr="001B3D21">
        <w:rPr>
          <w:lang w:val="en-US"/>
        </w:rPr>
        <w:t>Ablameyko</w:t>
      </w:r>
      <w:proofErr w:type="spellEnd"/>
      <w:r w:rsidRPr="001B3D21">
        <w:rPr>
          <w:lang w:val="en-US"/>
        </w:rPr>
        <w:t>, A. M. </w:t>
      </w:r>
      <w:proofErr w:type="spellStart"/>
      <w:r w:rsidRPr="001B3D21">
        <w:rPr>
          <w:lang w:val="en-US"/>
        </w:rPr>
        <w:t>Nedzved</w:t>
      </w:r>
      <w:proofErr w:type="spellEnd"/>
      <w:r w:rsidRPr="001B3D21">
        <w:rPr>
          <w:lang w:val="en-US"/>
        </w:rPr>
        <w:t xml:space="preserve">, A. M. </w:t>
      </w:r>
      <w:proofErr w:type="spellStart"/>
      <w:r w:rsidRPr="001B3D21">
        <w:rPr>
          <w:lang w:val="en-US"/>
        </w:rPr>
        <w:t>Ospanov</w:t>
      </w:r>
      <w:proofErr w:type="spellEnd"/>
      <w:r w:rsidRPr="001B3D21">
        <w:rPr>
          <w:lang w:val="en-US"/>
        </w:rPr>
        <w:t xml:space="preserve">, A. T. </w:t>
      </w:r>
      <w:proofErr w:type="spellStart"/>
      <w:r w:rsidRPr="001B3D21">
        <w:rPr>
          <w:lang w:val="en-US"/>
        </w:rPr>
        <w:t>Tleubaev</w:t>
      </w:r>
      <w:proofErr w:type="spellEnd"/>
      <w:r w:rsidRPr="001B3D21">
        <w:rPr>
          <w:lang w:val="en-US"/>
        </w:rPr>
        <w:t>, A. A. </w:t>
      </w:r>
      <w:proofErr w:type="spellStart"/>
      <w:r w:rsidRPr="001B3D21">
        <w:rPr>
          <w:lang w:val="en-US"/>
        </w:rPr>
        <w:t>Fedorov</w:t>
      </w:r>
      <w:proofErr w:type="spellEnd"/>
      <w:r w:rsidRPr="001B3D21">
        <w:rPr>
          <w:lang w:val="en-US"/>
        </w:rPr>
        <w:t xml:space="preserve">, and N. A. </w:t>
      </w:r>
      <w:proofErr w:type="spellStart"/>
      <w:r w:rsidRPr="001B3D21">
        <w:rPr>
          <w:lang w:val="en-US"/>
        </w:rPr>
        <w:t>Fedoruk</w:t>
      </w:r>
      <w:proofErr w:type="spellEnd"/>
      <w:r w:rsidRPr="001B3D21">
        <w:rPr>
          <w:lang w:val="en-US"/>
        </w:rPr>
        <w:t xml:space="preserve">, “Development and experimental investigation of mathematical methods for automating the diagnostics and analysis of ophthalmological images,”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28</w:t>
      </w:r>
      <w:proofErr w:type="gramEnd"/>
      <w:r w:rsidRPr="001B3D21">
        <w:rPr>
          <w:lang w:val="en-US"/>
        </w:rPr>
        <w:t xml:space="preserve"> (4), 612–636 (2018). </w:t>
      </w:r>
      <w:hyperlink r:id="rId8" w:history="1">
        <w:r w:rsidRPr="001B3D21">
          <w:rPr>
            <w:rStyle w:val="a3"/>
            <w:color w:val="auto"/>
            <w:u w:val="none"/>
            <w:lang w:val="en-US"/>
          </w:rPr>
          <w:t>https://doi.org/10.1134/S1054661818040120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V. V.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A. A. </w:t>
      </w:r>
      <w:proofErr w:type="spellStart"/>
      <w:r w:rsidRPr="001B3D21">
        <w:rPr>
          <w:lang w:val="en-US"/>
        </w:rPr>
        <w:t>Fedorov</w:t>
      </w:r>
      <w:proofErr w:type="spellEnd"/>
      <w:r w:rsidRPr="001B3D21">
        <w:rPr>
          <w:lang w:val="en-US"/>
        </w:rPr>
        <w:t>, A. M. </w:t>
      </w:r>
      <w:proofErr w:type="spellStart"/>
      <w:r w:rsidRPr="001B3D21">
        <w:rPr>
          <w:lang w:val="en-US"/>
        </w:rPr>
        <w:t>Nedzved</w:t>
      </w:r>
      <w:proofErr w:type="spellEnd"/>
      <w:r w:rsidRPr="001B3D21">
        <w:rPr>
          <w:lang w:val="en-US"/>
        </w:rPr>
        <w:t xml:space="preserve">, and A. T. </w:t>
      </w:r>
      <w:proofErr w:type="spellStart"/>
      <w:r w:rsidRPr="001B3D21">
        <w:rPr>
          <w:lang w:val="en-US"/>
        </w:rPr>
        <w:t>Tleubaev</w:t>
      </w:r>
      <w:proofErr w:type="spellEnd"/>
      <w:r w:rsidRPr="001B3D21">
        <w:rPr>
          <w:lang w:val="en-US"/>
        </w:rPr>
        <w:t xml:space="preserve">, “Development, investigation, and software implementation of a new mathematical method for automatizing analysis of corneal endothelium images,”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27</w:t>
      </w:r>
      <w:proofErr w:type="gramEnd"/>
      <w:r w:rsidRPr="001B3D21">
        <w:rPr>
          <w:lang w:val="en-US"/>
        </w:rPr>
        <w:t xml:space="preserve"> (3), 550–559 (2017).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V. V.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A. A. </w:t>
      </w:r>
      <w:proofErr w:type="spellStart"/>
      <w:r w:rsidRPr="001B3D21">
        <w:rPr>
          <w:lang w:val="en-US"/>
        </w:rPr>
        <w:t>Fedorov</w:t>
      </w:r>
      <w:proofErr w:type="spellEnd"/>
      <w:r w:rsidRPr="001B3D21">
        <w:rPr>
          <w:lang w:val="en-US"/>
        </w:rPr>
        <w:t>, A. M. </w:t>
      </w:r>
      <w:proofErr w:type="spellStart"/>
      <w:r w:rsidRPr="001B3D21">
        <w:rPr>
          <w:lang w:val="en-US"/>
        </w:rPr>
        <w:t>Nedzved</w:t>
      </w:r>
      <w:proofErr w:type="spellEnd"/>
      <w:r w:rsidRPr="001B3D21">
        <w:rPr>
          <w:lang w:val="en-US"/>
        </w:rPr>
        <w:t xml:space="preserve">, and A. M. </w:t>
      </w:r>
      <w:proofErr w:type="spellStart"/>
      <w:r w:rsidRPr="001B3D21">
        <w:rPr>
          <w:lang w:val="en-US"/>
        </w:rPr>
        <w:t>Ospanov</w:t>
      </w:r>
      <w:proofErr w:type="spellEnd"/>
      <w:r w:rsidRPr="001B3D21">
        <w:rPr>
          <w:lang w:val="en-US"/>
        </w:rPr>
        <w:t xml:space="preserve">, “Development, investigation, and software implementation of a new mathematical method for automated identification of the lipid layer state by the images of eyelid </w:t>
      </w:r>
      <w:proofErr w:type="spellStart"/>
      <w:r w:rsidRPr="001B3D21">
        <w:rPr>
          <w:lang w:val="en-US"/>
        </w:rPr>
        <w:t>intermarginal</w:t>
      </w:r>
      <w:proofErr w:type="spellEnd"/>
      <w:r w:rsidRPr="001B3D21">
        <w:rPr>
          <w:lang w:val="en-US"/>
        </w:rPr>
        <w:t xml:space="preserve"> space,”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27</w:t>
      </w:r>
      <w:proofErr w:type="gramEnd"/>
      <w:r w:rsidRPr="001B3D21">
        <w:rPr>
          <w:lang w:val="en-US"/>
        </w:rPr>
        <w:t xml:space="preserve"> (3), 538–549 (2017).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Yu. I. </w:t>
      </w:r>
      <w:proofErr w:type="spellStart"/>
      <w:r w:rsidRPr="001B3D21">
        <w:rPr>
          <w:lang w:val="en-US"/>
        </w:rPr>
        <w:t>Zhuravlev</w:t>
      </w:r>
      <w:proofErr w:type="spellEnd"/>
      <w:r w:rsidRPr="001B3D21">
        <w:rPr>
          <w:lang w:val="en-US"/>
        </w:rPr>
        <w:t xml:space="preserve">, A. A. </w:t>
      </w:r>
      <w:proofErr w:type="spellStart"/>
      <w:r w:rsidRPr="001B3D21">
        <w:rPr>
          <w:lang w:val="en-US"/>
        </w:rPr>
        <w:t>Myagkov</w:t>
      </w:r>
      <w:proofErr w:type="spellEnd"/>
      <w:r w:rsidRPr="001B3D21">
        <w:rPr>
          <w:lang w:val="en-US"/>
        </w:rPr>
        <w:t>, Yu. O. </w:t>
      </w:r>
      <w:proofErr w:type="spellStart"/>
      <w:r w:rsidRPr="001B3D21">
        <w:rPr>
          <w:lang w:val="en-US"/>
        </w:rPr>
        <w:t>Trusova</w:t>
      </w:r>
      <w:proofErr w:type="spellEnd"/>
      <w:r w:rsidRPr="001B3D21">
        <w:rPr>
          <w:lang w:val="en-US"/>
        </w:rPr>
        <w:t xml:space="preserve">, and V. V.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“On basic problems of image recognition in neurosciences and heuristic methods for their solution,”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25</w:t>
      </w:r>
      <w:proofErr w:type="gramEnd"/>
      <w:r w:rsidRPr="001B3D21">
        <w:rPr>
          <w:lang w:val="en-US"/>
        </w:rPr>
        <w:t xml:space="preserve"> (1), 132–160 (2015).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Igor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 and Vera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“Basic models of descriptive image analysis,” in </w:t>
      </w:r>
      <w:r w:rsidRPr="001B3D21">
        <w:rPr>
          <w:i/>
          <w:iCs/>
          <w:lang w:val="en-US"/>
        </w:rPr>
        <w:t>ICPR 2020 Workshops,</w:t>
      </w:r>
      <w:r w:rsidRPr="001B3D21">
        <w:rPr>
          <w:lang w:val="en-US"/>
        </w:rPr>
        <w:t xml:space="preserve"> Ed. by A. Del Bimbo (Springer Nature Switzerland AG, 2021), pp. 275–288.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T. Hirano et al., “Vitreoretinal interface slab in OCT angiography for detecting diabetic retinal neovascularization,”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Retina </w:t>
      </w:r>
      <w:r w:rsidRPr="001B3D21">
        <w:rPr>
          <w:bCs/>
          <w:lang w:val="en-US"/>
        </w:rPr>
        <w:t>4</w:t>
      </w:r>
      <w:r w:rsidRPr="001B3D21">
        <w:rPr>
          <w:lang w:val="en-US"/>
        </w:rPr>
        <w:t xml:space="preserve"> (6), 588–594 (2020). </w:t>
      </w:r>
      <w:hyperlink r:id="rId9" w:history="1">
        <w:r w:rsidRPr="001B3D21">
          <w:rPr>
            <w:rStyle w:val="a3"/>
            <w:color w:val="auto"/>
            <w:u w:val="none"/>
            <w:lang w:val="en-US"/>
          </w:rPr>
          <w:t>https://doi.org/10.1016/j.oret.2020.01.004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T. Hirano, J. </w:t>
      </w:r>
      <w:proofErr w:type="spellStart"/>
      <w:r w:rsidRPr="001B3D21">
        <w:rPr>
          <w:lang w:val="en-US"/>
        </w:rPr>
        <w:t>Kitahara</w:t>
      </w:r>
      <w:proofErr w:type="spellEnd"/>
      <w:r w:rsidRPr="001B3D21">
        <w:rPr>
          <w:lang w:val="en-US"/>
        </w:rPr>
        <w:t xml:space="preserve">, Y. </w:t>
      </w:r>
      <w:proofErr w:type="spellStart"/>
      <w:r w:rsidRPr="001B3D21">
        <w:rPr>
          <w:lang w:val="en-US"/>
        </w:rPr>
        <w:t>Toriyama</w:t>
      </w:r>
      <w:proofErr w:type="spellEnd"/>
      <w:r w:rsidRPr="001B3D21">
        <w:rPr>
          <w:lang w:val="en-US"/>
        </w:rPr>
        <w:t xml:space="preserve">, et al., “Quantifying vascular density and morphology using different swept-source optical coherence tomography angiographic scan patterns in diabetic retinopathy,” Br. J.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103</w:t>
      </w:r>
      <w:proofErr w:type="gramEnd"/>
      <w:r w:rsidRPr="001B3D21">
        <w:rPr>
          <w:lang w:val="en-US"/>
        </w:rPr>
        <w:t xml:space="preserve">, 216–221 (2019). </w:t>
      </w:r>
      <w:hyperlink r:id="rId10" w:history="1">
        <w:r w:rsidRPr="001B3D21">
          <w:rPr>
            <w:rStyle w:val="a3"/>
            <w:color w:val="auto"/>
            <w:u w:val="none"/>
            <w:lang w:val="en-US"/>
          </w:rPr>
          <w:t>https://doi.org/10.1136/bjophthalmol-2018-311942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V. B. </w:t>
      </w:r>
      <w:proofErr w:type="spellStart"/>
      <w:r w:rsidRPr="001B3D21">
        <w:rPr>
          <w:lang w:val="en-US"/>
        </w:rPr>
        <w:t>João</w:t>
      </w:r>
      <w:proofErr w:type="spellEnd"/>
      <w:r w:rsidRPr="001B3D21">
        <w:rPr>
          <w:lang w:val="en-US"/>
        </w:rPr>
        <w:t xml:space="preserve"> et al., “Retinal vessel segmentation using the 2-D </w:t>
      </w:r>
      <w:proofErr w:type="spellStart"/>
      <w:r w:rsidRPr="001B3D21">
        <w:rPr>
          <w:lang w:val="en-US"/>
        </w:rPr>
        <w:t>Morlet</w:t>
      </w:r>
      <w:proofErr w:type="spellEnd"/>
      <w:r w:rsidRPr="001B3D21">
        <w:rPr>
          <w:lang w:val="en-US"/>
        </w:rPr>
        <w:t xml:space="preserve"> wavelet and supervised classification,” IEEE Trans. Med. Imaging </w:t>
      </w:r>
      <w:r w:rsidRPr="001B3D21">
        <w:rPr>
          <w:bCs/>
          <w:lang w:val="en-US"/>
        </w:rPr>
        <w:t>25</w:t>
      </w:r>
      <w:r w:rsidRPr="001B3D21">
        <w:rPr>
          <w:lang w:val="en-US"/>
        </w:rPr>
        <w:t xml:space="preserve"> (9), 1214–1222 (2006).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O. V. </w:t>
      </w:r>
      <w:proofErr w:type="spellStart"/>
      <w:r w:rsidRPr="001B3D21">
        <w:rPr>
          <w:lang w:val="en-US"/>
        </w:rPr>
        <w:t>Nedzvedz</w:t>
      </w:r>
      <w:proofErr w:type="spellEnd"/>
      <w:r w:rsidRPr="001B3D21">
        <w:rPr>
          <w:lang w:val="en-US"/>
        </w:rPr>
        <w:t xml:space="preserve">, S. V. </w:t>
      </w:r>
      <w:proofErr w:type="spellStart"/>
      <w:r w:rsidRPr="001B3D21">
        <w:rPr>
          <w:lang w:val="en-US"/>
        </w:rPr>
        <w:t>Ablameyko</w:t>
      </w:r>
      <w:proofErr w:type="spellEnd"/>
      <w:r w:rsidRPr="001B3D21">
        <w:rPr>
          <w:lang w:val="en-US"/>
        </w:rPr>
        <w:t xml:space="preserve">, I. B. </w:t>
      </w:r>
      <w:proofErr w:type="spellStart"/>
      <w:r w:rsidRPr="001B3D21">
        <w:rPr>
          <w:lang w:val="en-US"/>
        </w:rPr>
        <w:t>Gurevich</w:t>
      </w:r>
      <w:proofErr w:type="spellEnd"/>
      <w:r w:rsidRPr="001B3D21">
        <w:rPr>
          <w:lang w:val="en-US"/>
        </w:rPr>
        <w:t xml:space="preserve">, and V. V. </w:t>
      </w:r>
      <w:proofErr w:type="spellStart"/>
      <w:r w:rsidRPr="001B3D21">
        <w:rPr>
          <w:lang w:val="en-US"/>
        </w:rPr>
        <w:t>Yashina</w:t>
      </w:r>
      <w:proofErr w:type="spellEnd"/>
      <w:r w:rsidRPr="001B3D21">
        <w:rPr>
          <w:lang w:val="en-US"/>
        </w:rPr>
        <w:t xml:space="preserve">, “A new method for </w:t>
      </w:r>
      <w:proofErr w:type="spellStart"/>
      <w:r w:rsidRPr="001B3D21">
        <w:rPr>
          <w:lang w:val="en-US"/>
        </w:rPr>
        <w:t>automazing</w:t>
      </w:r>
      <w:proofErr w:type="spellEnd"/>
      <w:r w:rsidRPr="001B3D21">
        <w:rPr>
          <w:lang w:val="en-US"/>
        </w:rPr>
        <w:t xml:space="preserve"> of stem cell populations investigation based on the integral optical flow of a video sequence analysis,”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Image Anal. </w:t>
      </w:r>
      <w:proofErr w:type="gramStart"/>
      <w:r w:rsidRPr="001B3D21">
        <w:rPr>
          <w:bCs/>
          <w:lang w:val="en-US"/>
        </w:rPr>
        <w:t>27</w:t>
      </w:r>
      <w:proofErr w:type="gramEnd"/>
      <w:r w:rsidRPr="001B3D21">
        <w:rPr>
          <w:lang w:val="en-US"/>
        </w:rPr>
        <w:t xml:space="preserve"> (3), 599–609 (2017).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A. Olvera-Barrios, T. F. </w:t>
      </w:r>
      <w:proofErr w:type="spellStart"/>
      <w:r w:rsidRPr="001B3D21">
        <w:rPr>
          <w:lang w:val="en-US"/>
        </w:rPr>
        <w:t>Heeren</w:t>
      </w:r>
      <w:proofErr w:type="spellEnd"/>
      <w:r w:rsidRPr="001B3D21">
        <w:rPr>
          <w:lang w:val="en-US"/>
        </w:rPr>
        <w:t xml:space="preserve">, K. </w:t>
      </w:r>
      <w:proofErr w:type="spellStart"/>
      <w:r w:rsidRPr="001B3D21">
        <w:rPr>
          <w:lang w:val="en-US"/>
        </w:rPr>
        <w:t>Balaskas</w:t>
      </w:r>
      <w:proofErr w:type="spellEnd"/>
      <w:r w:rsidRPr="001B3D21">
        <w:rPr>
          <w:lang w:val="en-US"/>
        </w:rPr>
        <w:t>, et al., “Diagnostic accuracy of diabetic retinopathy grading by an artificial intelligence-enabled algorithm compared with a human standard for wide-field true-</w:t>
      </w:r>
      <w:proofErr w:type="spellStart"/>
      <w:r w:rsidRPr="001B3D21">
        <w:rPr>
          <w:lang w:val="en-US"/>
        </w:rPr>
        <w:t>colour</w:t>
      </w:r>
      <w:proofErr w:type="spellEnd"/>
      <w:r w:rsidRPr="001B3D21">
        <w:rPr>
          <w:lang w:val="en-US"/>
        </w:rPr>
        <w:t xml:space="preserve"> confocal scanning and standard digital retinal images,” Br. J.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105</w:t>
      </w:r>
      <w:proofErr w:type="gramEnd"/>
      <w:r w:rsidRPr="001B3D21">
        <w:rPr>
          <w:lang w:val="en-US"/>
        </w:rPr>
        <w:t xml:space="preserve"> (2), 265–270 (2020). </w:t>
      </w:r>
      <w:hyperlink r:id="rId11" w:history="1">
        <w:r w:rsidRPr="001B3D21">
          <w:rPr>
            <w:rStyle w:val="a3"/>
            <w:color w:val="auto"/>
            <w:u w:val="none"/>
            <w:lang w:val="en-US"/>
          </w:rPr>
          <w:t>https://doi.org/10.1136/bjophthalmol-2019-315394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J. </w:t>
      </w:r>
      <w:proofErr w:type="spellStart"/>
      <w:r w:rsidRPr="001B3D21">
        <w:rPr>
          <w:lang w:val="en-US"/>
        </w:rPr>
        <w:t>Sauvola</w:t>
      </w:r>
      <w:proofErr w:type="spellEnd"/>
      <w:r w:rsidRPr="001B3D21">
        <w:rPr>
          <w:lang w:val="en-US"/>
        </w:rPr>
        <w:t xml:space="preserve"> and M. </w:t>
      </w:r>
      <w:proofErr w:type="spellStart"/>
      <w:r w:rsidRPr="001B3D21">
        <w:rPr>
          <w:lang w:val="en-US"/>
        </w:rPr>
        <w:t>Pietikainen</w:t>
      </w:r>
      <w:proofErr w:type="spellEnd"/>
      <w:r w:rsidRPr="001B3D21">
        <w:rPr>
          <w:lang w:val="en-US"/>
        </w:rPr>
        <w:t xml:space="preserve">, “Adaptive document image </w:t>
      </w:r>
      <w:proofErr w:type="spellStart"/>
      <w:r w:rsidRPr="001B3D21">
        <w:rPr>
          <w:lang w:val="en-US"/>
        </w:rPr>
        <w:t>binarization</w:t>
      </w:r>
      <w:proofErr w:type="spellEnd"/>
      <w:r w:rsidRPr="001B3D21">
        <w:rPr>
          <w:lang w:val="en-US"/>
        </w:rPr>
        <w:t xml:space="preserve">,” Pattern </w:t>
      </w:r>
      <w:proofErr w:type="spellStart"/>
      <w:r w:rsidRPr="001B3D21">
        <w:rPr>
          <w:lang w:val="en-US"/>
        </w:rPr>
        <w:t>Recognit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33</w:t>
      </w:r>
      <w:proofErr w:type="gramEnd"/>
      <w:r w:rsidRPr="001B3D21">
        <w:rPr>
          <w:lang w:val="en-US"/>
        </w:rPr>
        <w:t xml:space="preserve"> (2), 225–236 (2000).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S. H. Sinclair and C. </w:t>
      </w:r>
      <w:proofErr w:type="spellStart"/>
      <w:r w:rsidRPr="001B3D21">
        <w:rPr>
          <w:lang w:val="en-US"/>
        </w:rPr>
        <w:t>Delvecchio</w:t>
      </w:r>
      <w:proofErr w:type="spellEnd"/>
      <w:r w:rsidRPr="001B3D21">
        <w:rPr>
          <w:lang w:val="en-US"/>
        </w:rPr>
        <w:t xml:space="preserve">, “The internist’s role in managing diabetic retinopathy: Screening for early detection,” Cleveland </w:t>
      </w:r>
      <w:proofErr w:type="spellStart"/>
      <w:r w:rsidRPr="001B3D21">
        <w:rPr>
          <w:lang w:val="en-US"/>
        </w:rPr>
        <w:t>Clin</w:t>
      </w:r>
      <w:proofErr w:type="spellEnd"/>
      <w:r w:rsidRPr="001B3D21">
        <w:rPr>
          <w:lang w:val="en-US"/>
        </w:rPr>
        <w:t xml:space="preserve">. J. Med. </w:t>
      </w:r>
      <w:r w:rsidRPr="001B3D21">
        <w:rPr>
          <w:bCs/>
          <w:lang w:val="en-US"/>
        </w:rPr>
        <w:t>71</w:t>
      </w:r>
      <w:r w:rsidRPr="001B3D21">
        <w:rPr>
          <w:lang w:val="en-US"/>
        </w:rPr>
        <w:t xml:space="preserve"> (2), 151–159 (2004). </w:t>
      </w:r>
      <w:hyperlink r:id="rId12" w:history="1">
        <w:r w:rsidRPr="001B3D21">
          <w:rPr>
            <w:rStyle w:val="a3"/>
            <w:color w:val="auto"/>
            <w:u w:val="none"/>
            <w:lang w:val="en-US"/>
          </w:rPr>
          <w:t>https://doi.org/10.3949/ccjm.71.2.151</w:t>
        </w:r>
      </w:hyperlink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L. G. Shapiro and G. C. Stockman, </w:t>
      </w:r>
      <w:r w:rsidRPr="001B3D21">
        <w:rPr>
          <w:i/>
          <w:iCs/>
          <w:lang w:val="en-US"/>
        </w:rPr>
        <w:t>Computer Vision</w:t>
      </w:r>
      <w:r w:rsidRPr="001B3D21">
        <w:rPr>
          <w:lang w:val="en-US"/>
        </w:rPr>
        <w:t xml:space="preserve"> (Prentice Hall, Englewood, 2001).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R. F. </w:t>
      </w:r>
      <w:proofErr w:type="spellStart"/>
      <w:r w:rsidRPr="001B3D21">
        <w:rPr>
          <w:lang w:val="en-US"/>
        </w:rPr>
        <w:t>Spaide</w:t>
      </w:r>
      <w:proofErr w:type="spellEnd"/>
      <w:r w:rsidRPr="001B3D21">
        <w:rPr>
          <w:lang w:val="en-US"/>
        </w:rPr>
        <w:t xml:space="preserve">, J. G. Fujimoto, N. K. </w:t>
      </w:r>
      <w:proofErr w:type="spellStart"/>
      <w:r w:rsidRPr="001B3D21">
        <w:rPr>
          <w:lang w:val="en-US"/>
        </w:rPr>
        <w:t>Waheed</w:t>
      </w:r>
      <w:proofErr w:type="spellEnd"/>
      <w:r w:rsidRPr="001B3D21">
        <w:rPr>
          <w:lang w:val="en-US"/>
        </w:rPr>
        <w:t>, S. R. </w:t>
      </w:r>
      <w:proofErr w:type="spellStart"/>
      <w:r w:rsidRPr="001B3D21">
        <w:rPr>
          <w:lang w:val="en-US"/>
        </w:rPr>
        <w:t>Sadda</w:t>
      </w:r>
      <w:proofErr w:type="spellEnd"/>
      <w:r w:rsidRPr="001B3D21">
        <w:rPr>
          <w:lang w:val="en-US"/>
        </w:rPr>
        <w:t xml:space="preserve">, and G. </w:t>
      </w:r>
      <w:proofErr w:type="spellStart"/>
      <w:r w:rsidRPr="001B3D21">
        <w:rPr>
          <w:lang w:val="en-US"/>
        </w:rPr>
        <w:t>Staurenghi</w:t>
      </w:r>
      <w:proofErr w:type="spellEnd"/>
      <w:r w:rsidRPr="001B3D21">
        <w:rPr>
          <w:lang w:val="en-US"/>
        </w:rPr>
        <w:t xml:space="preserve">, “Optical coherence tomography angiography,” </w:t>
      </w:r>
      <w:proofErr w:type="spellStart"/>
      <w:r w:rsidRPr="001B3D21">
        <w:rPr>
          <w:lang w:val="en-US"/>
        </w:rPr>
        <w:t>Prog</w:t>
      </w:r>
      <w:proofErr w:type="spellEnd"/>
      <w:r w:rsidRPr="001B3D21">
        <w:rPr>
          <w:lang w:val="en-US"/>
        </w:rPr>
        <w:t xml:space="preserve">. Retinal Eye Res. </w:t>
      </w:r>
      <w:r w:rsidRPr="001B3D21">
        <w:rPr>
          <w:bCs/>
          <w:lang w:val="en-US"/>
        </w:rPr>
        <w:t>64</w:t>
      </w:r>
      <w:r w:rsidRPr="001B3D21">
        <w:rPr>
          <w:lang w:val="en-US"/>
        </w:rPr>
        <w:t>, 1–55 (2018).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R. F. </w:t>
      </w:r>
      <w:proofErr w:type="spellStart"/>
      <w:r w:rsidRPr="001B3D21">
        <w:rPr>
          <w:lang w:val="en-US"/>
        </w:rPr>
        <w:t>Spaide</w:t>
      </w:r>
      <w:proofErr w:type="spellEnd"/>
      <w:r w:rsidRPr="001B3D21">
        <w:rPr>
          <w:lang w:val="en-US"/>
        </w:rPr>
        <w:t xml:space="preserve">, “Volume-rendered optical coherence tomography of diabetic retinopathy pilot study,” Am. J. </w:t>
      </w:r>
      <w:proofErr w:type="spellStart"/>
      <w:r w:rsidRPr="001B3D21">
        <w:rPr>
          <w:lang w:val="en-US"/>
        </w:rPr>
        <w:t>Ophthalmol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160</w:t>
      </w:r>
      <w:proofErr w:type="gramEnd"/>
      <w:r w:rsidRPr="001B3D21">
        <w:rPr>
          <w:lang w:val="en-US"/>
        </w:rPr>
        <w:t>, 1200–1210 (2015).</w:t>
      </w:r>
    </w:p>
    <w:p w:rsidR="00DF4BF3" w:rsidRPr="001B3D21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1B3D21">
        <w:rPr>
          <w:lang w:val="en-US"/>
        </w:rPr>
        <w:t xml:space="preserve">K. A. Vermeer, F. M. </w:t>
      </w:r>
      <w:proofErr w:type="spellStart"/>
      <w:r w:rsidRPr="001B3D21">
        <w:rPr>
          <w:lang w:val="en-US"/>
        </w:rPr>
        <w:t>Vos</w:t>
      </w:r>
      <w:proofErr w:type="spellEnd"/>
      <w:r w:rsidRPr="001B3D21">
        <w:rPr>
          <w:lang w:val="en-US"/>
        </w:rPr>
        <w:t xml:space="preserve">, H. G. </w:t>
      </w:r>
      <w:proofErr w:type="spellStart"/>
      <w:r w:rsidRPr="001B3D21">
        <w:rPr>
          <w:lang w:val="en-US"/>
        </w:rPr>
        <w:t>Lemij</w:t>
      </w:r>
      <w:proofErr w:type="spellEnd"/>
      <w:r w:rsidRPr="001B3D21">
        <w:rPr>
          <w:lang w:val="en-US"/>
        </w:rPr>
        <w:t>, and A. M. </w:t>
      </w:r>
      <w:proofErr w:type="spellStart"/>
      <w:r w:rsidRPr="001B3D21">
        <w:rPr>
          <w:lang w:val="en-US"/>
        </w:rPr>
        <w:t>Vossepoel</w:t>
      </w:r>
      <w:proofErr w:type="spellEnd"/>
      <w:r w:rsidRPr="001B3D21">
        <w:rPr>
          <w:lang w:val="en-US"/>
        </w:rPr>
        <w:t xml:space="preserve">, “A model based method for retinal blood vessel detection,” </w:t>
      </w:r>
      <w:proofErr w:type="spellStart"/>
      <w:r w:rsidRPr="001B3D21">
        <w:rPr>
          <w:lang w:val="en-US"/>
        </w:rPr>
        <w:t>Comput</w:t>
      </w:r>
      <w:proofErr w:type="spellEnd"/>
      <w:r w:rsidRPr="001B3D21">
        <w:rPr>
          <w:lang w:val="en-US"/>
        </w:rPr>
        <w:t xml:space="preserve">. Biol. Med. </w:t>
      </w:r>
      <w:r w:rsidRPr="001B3D21">
        <w:rPr>
          <w:bCs/>
          <w:lang w:val="en-US"/>
        </w:rPr>
        <w:t>34</w:t>
      </w:r>
      <w:r w:rsidRPr="001B3D21">
        <w:rPr>
          <w:lang w:val="en-US"/>
        </w:rPr>
        <w:t>, 209–219 (2004).</w:t>
      </w:r>
    </w:p>
    <w:p w:rsidR="00DF4BF3" w:rsidRDefault="00DF4BF3" w:rsidP="00DF4BF3">
      <w:pPr>
        <w:pStyle w:val="c-article-referencestext"/>
        <w:numPr>
          <w:ilvl w:val="0"/>
          <w:numId w:val="7"/>
        </w:numPr>
        <w:rPr>
          <w:rStyle w:val="a3"/>
          <w:color w:val="auto"/>
          <w:u w:val="none"/>
          <w:lang w:val="en-US"/>
        </w:rPr>
      </w:pPr>
      <w:r w:rsidRPr="001B3D21">
        <w:rPr>
          <w:lang w:val="en-US"/>
        </w:rPr>
        <w:t xml:space="preserve">S. </w:t>
      </w:r>
      <w:proofErr w:type="spellStart"/>
      <w:r w:rsidRPr="001B3D21">
        <w:rPr>
          <w:lang w:val="en-US"/>
        </w:rPr>
        <w:t>Vujosevic</w:t>
      </w:r>
      <w:proofErr w:type="spellEnd"/>
      <w:r w:rsidRPr="001B3D21">
        <w:rPr>
          <w:lang w:val="en-US"/>
        </w:rPr>
        <w:t xml:space="preserve"> et al., “Screening for diabetic retinopathy: New perspectives and challenges,” Lancet Diabetes </w:t>
      </w:r>
      <w:proofErr w:type="spellStart"/>
      <w:r w:rsidRPr="001B3D21">
        <w:rPr>
          <w:lang w:val="en-US"/>
        </w:rPr>
        <w:t>Endocrinol</w:t>
      </w:r>
      <w:proofErr w:type="spellEnd"/>
      <w:r w:rsidRPr="001B3D21">
        <w:rPr>
          <w:lang w:val="en-US"/>
        </w:rPr>
        <w:t xml:space="preserve">. </w:t>
      </w:r>
      <w:proofErr w:type="gramStart"/>
      <w:r w:rsidRPr="001B3D21">
        <w:rPr>
          <w:bCs/>
          <w:lang w:val="en-US"/>
        </w:rPr>
        <w:t>8</w:t>
      </w:r>
      <w:proofErr w:type="gramEnd"/>
      <w:r w:rsidRPr="001B3D21">
        <w:rPr>
          <w:lang w:val="en-US"/>
        </w:rPr>
        <w:t xml:space="preserve"> (4), 337–347 (2020). </w:t>
      </w:r>
      <w:hyperlink r:id="rId13" w:history="1">
        <w:r w:rsidRPr="001B3D21">
          <w:rPr>
            <w:rStyle w:val="a3"/>
            <w:color w:val="auto"/>
            <w:u w:val="none"/>
            <w:lang w:val="en-US"/>
          </w:rPr>
          <w:t>https://doi.org/10.1016/S2213-8587(19)30411-5</w:t>
        </w:r>
      </w:hyperlink>
    </w:p>
    <w:p w:rsidR="00DF4BF3" w:rsidRPr="00DF4BF3" w:rsidRDefault="00DF4BF3" w:rsidP="00DF4BF3">
      <w:pPr>
        <w:pStyle w:val="c-article-referencestext"/>
        <w:numPr>
          <w:ilvl w:val="0"/>
          <w:numId w:val="7"/>
        </w:numPr>
        <w:rPr>
          <w:lang w:val="en-US"/>
        </w:rPr>
      </w:pPr>
      <w:r w:rsidRPr="00DF4BF3">
        <w:rPr>
          <w:lang w:val="en-US"/>
        </w:rPr>
        <w:t xml:space="preserve">B. Zhang, L. Zhang, L. Zhang, and F. </w:t>
      </w:r>
      <w:proofErr w:type="spellStart"/>
      <w:r w:rsidRPr="00DF4BF3">
        <w:rPr>
          <w:lang w:val="en-US"/>
        </w:rPr>
        <w:t>Karray</w:t>
      </w:r>
      <w:proofErr w:type="spellEnd"/>
      <w:r w:rsidRPr="00DF4BF3">
        <w:rPr>
          <w:lang w:val="en-US"/>
        </w:rPr>
        <w:t xml:space="preserve">, “Retinal vessel extraction by matched filter with first-order derivative of Gaussian,” </w:t>
      </w:r>
      <w:proofErr w:type="spellStart"/>
      <w:r w:rsidRPr="00DF4BF3">
        <w:rPr>
          <w:lang w:val="en-US"/>
        </w:rPr>
        <w:t>Comput</w:t>
      </w:r>
      <w:proofErr w:type="spellEnd"/>
      <w:r w:rsidRPr="00DF4BF3">
        <w:rPr>
          <w:lang w:val="en-US"/>
        </w:rPr>
        <w:t xml:space="preserve">. Biol. Med. </w:t>
      </w:r>
      <w:r w:rsidRPr="00DF4BF3">
        <w:rPr>
          <w:bCs/>
          <w:lang w:val="en-US"/>
        </w:rPr>
        <w:t>40</w:t>
      </w:r>
      <w:r w:rsidRPr="00DF4BF3">
        <w:rPr>
          <w:lang w:val="en-US"/>
        </w:rPr>
        <w:t xml:space="preserve"> (4), 438–445 (2010).</w:t>
      </w:r>
    </w:p>
    <w:p w:rsidR="00A2201F" w:rsidRPr="003F00D1" w:rsidRDefault="00A2201F" w:rsidP="00C02BE8">
      <w:pPr>
        <w:spacing w:line="240" w:lineRule="exact"/>
        <w:rPr>
          <w:b/>
          <w:sz w:val="24"/>
          <w:szCs w:val="24"/>
          <w:lang w:val="en-US"/>
        </w:rPr>
      </w:pPr>
    </w:p>
    <w:p w:rsidR="00A2201F" w:rsidRPr="00A2201F" w:rsidRDefault="00A2201F" w:rsidP="00C02BE8">
      <w:pPr>
        <w:spacing w:line="240" w:lineRule="exact"/>
        <w:rPr>
          <w:rFonts w:eastAsia="Times New Roman"/>
          <w:b/>
          <w:iCs/>
          <w:sz w:val="24"/>
          <w:szCs w:val="24"/>
          <w:lang w:val="en-US"/>
        </w:rPr>
      </w:pPr>
      <w:r>
        <w:rPr>
          <w:b/>
          <w:szCs w:val="24"/>
          <w:lang w:val="en-US"/>
        </w:rPr>
        <w:t xml:space="preserve">Authors profile </w:t>
      </w:r>
      <w:r w:rsidRPr="00A2201F">
        <w:rPr>
          <w:i/>
          <w:szCs w:val="24"/>
          <w:lang w:val="en-US"/>
        </w:rPr>
        <w:t>(including Biography and Photo)</w:t>
      </w:r>
    </w:p>
    <w:sectPr w:rsidR="00A2201F" w:rsidRPr="00A2201F">
      <w:pgSz w:w="11900" w:h="16840"/>
      <w:pgMar w:top="1111" w:right="844" w:bottom="44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E35E0A66"/>
    <w:lvl w:ilvl="0" w:tplc="5628A4F8">
      <w:start w:val="2"/>
      <w:numFmt w:val="decimal"/>
      <w:lvlText w:val="%1)"/>
      <w:lvlJc w:val="left"/>
    </w:lvl>
    <w:lvl w:ilvl="1" w:tplc="5A189C42">
      <w:numFmt w:val="decimal"/>
      <w:lvlText w:val=""/>
      <w:lvlJc w:val="left"/>
    </w:lvl>
    <w:lvl w:ilvl="2" w:tplc="3FF4D3FA">
      <w:numFmt w:val="decimal"/>
      <w:lvlText w:val=""/>
      <w:lvlJc w:val="left"/>
    </w:lvl>
    <w:lvl w:ilvl="3" w:tplc="D16813BC">
      <w:numFmt w:val="decimal"/>
      <w:lvlText w:val=""/>
      <w:lvlJc w:val="left"/>
    </w:lvl>
    <w:lvl w:ilvl="4" w:tplc="8D14D724">
      <w:numFmt w:val="decimal"/>
      <w:lvlText w:val=""/>
      <w:lvlJc w:val="left"/>
    </w:lvl>
    <w:lvl w:ilvl="5" w:tplc="FFB43334">
      <w:numFmt w:val="decimal"/>
      <w:lvlText w:val=""/>
      <w:lvlJc w:val="left"/>
    </w:lvl>
    <w:lvl w:ilvl="6" w:tplc="C8DC3A5A">
      <w:numFmt w:val="decimal"/>
      <w:lvlText w:val=""/>
      <w:lvlJc w:val="left"/>
    </w:lvl>
    <w:lvl w:ilvl="7" w:tplc="1E4E0566">
      <w:numFmt w:val="decimal"/>
      <w:lvlText w:val=""/>
      <w:lvlJc w:val="left"/>
    </w:lvl>
    <w:lvl w:ilvl="8" w:tplc="5810F9CA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5D5E4EAC"/>
    <w:lvl w:ilvl="0" w:tplc="8994709C">
      <w:start w:val="1"/>
      <w:numFmt w:val="bullet"/>
      <w:lvlText w:val="1"/>
      <w:lvlJc w:val="left"/>
    </w:lvl>
    <w:lvl w:ilvl="1" w:tplc="6AAA9A9A">
      <w:numFmt w:val="decimal"/>
      <w:lvlText w:val=""/>
      <w:lvlJc w:val="left"/>
    </w:lvl>
    <w:lvl w:ilvl="2" w:tplc="B1BAE2E2">
      <w:numFmt w:val="decimal"/>
      <w:lvlText w:val=""/>
      <w:lvlJc w:val="left"/>
    </w:lvl>
    <w:lvl w:ilvl="3" w:tplc="92CACBC0">
      <w:numFmt w:val="decimal"/>
      <w:lvlText w:val=""/>
      <w:lvlJc w:val="left"/>
    </w:lvl>
    <w:lvl w:ilvl="4" w:tplc="FB80E4A8">
      <w:numFmt w:val="decimal"/>
      <w:lvlText w:val=""/>
      <w:lvlJc w:val="left"/>
    </w:lvl>
    <w:lvl w:ilvl="5" w:tplc="9B1AD6EE">
      <w:numFmt w:val="decimal"/>
      <w:lvlText w:val=""/>
      <w:lvlJc w:val="left"/>
    </w:lvl>
    <w:lvl w:ilvl="6" w:tplc="F21818C4">
      <w:numFmt w:val="decimal"/>
      <w:lvlText w:val=""/>
      <w:lvlJc w:val="left"/>
    </w:lvl>
    <w:lvl w:ilvl="7" w:tplc="99107A96">
      <w:numFmt w:val="decimal"/>
      <w:lvlText w:val=""/>
      <w:lvlJc w:val="left"/>
    </w:lvl>
    <w:lvl w:ilvl="8" w:tplc="740C76F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2C01A7A"/>
    <w:lvl w:ilvl="0" w:tplc="374005FE">
      <w:start w:val="1"/>
      <w:numFmt w:val="decimal"/>
      <w:lvlText w:val="%1)"/>
      <w:lvlJc w:val="left"/>
    </w:lvl>
    <w:lvl w:ilvl="1" w:tplc="28D62588">
      <w:numFmt w:val="decimal"/>
      <w:lvlText w:val=""/>
      <w:lvlJc w:val="left"/>
    </w:lvl>
    <w:lvl w:ilvl="2" w:tplc="3F087318">
      <w:numFmt w:val="decimal"/>
      <w:lvlText w:val=""/>
      <w:lvlJc w:val="left"/>
    </w:lvl>
    <w:lvl w:ilvl="3" w:tplc="E3780F3A">
      <w:numFmt w:val="decimal"/>
      <w:lvlText w:val=""/>
      <w:lvlJc w:val="left"/>
    </w:lvl>
    <w:lvl w:ilvl="4" w:tplc="780035FE">
      <w:numFmt w:val="decimal"/>
      <w:lvlText w:val=""/>
      <w:lvlJc w:val="left"/>
    </w:lvl>
    <w:lvl w:ilvl="5" w:tplc="CE62FD44">
      <w:numFmt w:val="decimal"/>
      <w:lvlText w:val=""/>
      <w:lvlJc w:val="left"/>
    </w:lvl>
    <w:lvl w:ilvl="6" w:tplc="DB260108">
      <w:numFmt w:val="decimal"/>
      <w:lvlText w:val=""/>
      <w:lvlJc w:val="left"/>
    </w:lvl>
    <w:lvl w:ilvl="7" w:tplc="F822D0F4">
      <w:numFmt w:val="decimal"/>
      <w:lvlText w:val=""/>
      <w:lvlJc w:val="left"/>
    </w:lvl>
    <w:lvl w:ilvl="8" w:tplc="B52E467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E68FED4"/>
    <w:lvl w:ilvl="0" w:tplc="8E0E373A">
      <w:start w:val="1"/>
      <w:numFmt w:val="bullet"/>
      <w:lvlText w:val=""/>
      <w:lvlJc w:val="left"/>
    </w:lvl>
    <w:lvl w:ilvl="1" w:tplc="1EDA1974">
      <w:numFmt w:val="decimal"/>
      <w:lvlText w:val=""/>
      <w:lvlJc w:val="left"/>
    </w:lvl>
    <w:lvl w:ilvl="2" w:tplc="0068EC80">
      <w:numFmt w:val="decimal"/>
      <w:lvlText w:val=""/>
      <w:lvlJc w:val="left"/>
    </w:lvl>
    <w:lvl w:ilvl="3" w:tplc="96467948">
      <w:numFmt w:val="decimal"/>
      <w:lvlText w:val=""/>
      <w:lvlJc w:val="left"/>
    </w:lvl>
    <w:lvl w:ilvl="4" w:tplc="2DEACA18">
      <w:numFmt w:val="decimal"/>
      <w:lvlText w:val=""/>
      <w:lvlJc w:val="left"/>
    </w:lvl>
    <w:lvl w:ilvl="5" w:tplc="87262676">
      <w:numFmt w:val="decimal"/>
      <w:lvlText w:val=""/>
      <w:lvlJc w:val="left"/>
    </w:lvl>
    <w:lvl w:ilvl="6" w:tplc="CC44F216">
      <w:numFmt w:val="decimal"/>
      <w:lvlText w:val=""/>
      <w:lvlJc w:val="left"/>
    </w:lvl>
    <w:lvl w:ilvl="7" w:tplc="C90A2990">
      <w:numFmt w:val="decimal"/>
      <w:lvlText w:val=""/>
      <w:lvlJc w:val="left"/>
    </w:lvl>
    <w:lvl w:ilvl="8" w:tplc="DBD4E1E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F767204"/>
    <w:lvl w:ilvl="0" w:tplc="A5EA85F4">
      <w:start w:val="1"/>
      <w:numFmt w:val="decimal"/>
      <w:lvlText w:val="[%1]"/>
      <w:lvlJc w:val="left"/>
    </w:lvl>
    <w:lvl w:ilvl="1" w:tplc="8592943C">
      <w:numFmt w:val="decimal"/>
      <w:lvlText w:val=""/>
      <w:lvlJc w:val="left"/>
    </w:lvl>
    <w:lvl w:ilvl="2" w:tplc="676CFD52">
      <w:numFmt w:val="decimal"/>
      <w:lvlText w:val=""/>
      <w:lvlJc w:val="left"/>
    </w:lvl>
    <w:lvl w:ilvl="3" w:tplc="E6E8E80A">
      <w:numFmt w:val="decimal"/>
      <w:lvlText w:val=""/>
      <w:lvlJc w:val="left"/>
    </w:lvl>
    <w:lvl w:ilvl="4" w:tplc="7338CB94">
      <w:numFmt w:val="decimal"/>
      <w:lvlText w:val=""/>
      <w:lvlJc w:val="left"/>
    </w:lvl>
    <w:lvl w:ilvl="5" w:tplc="A5E4C674">
      <w:numFmt w:val="decimal"/>
      <w:lvlText w:val=""/>
      <w:lvlJc w:val="left"/>
    </w:lvl>
    <w:lvl w:ilvl="6" w:tplc="F568247E">
      <w:numFmt w:val="decimal"/>
      <w:lvlText w:val=""/>
      <w:lvlJc w:val="left"/>
    </w:lvl>
    <w:lvl w:ilvl="7" w:tplc="452ACA92">
      <w:numFmt w:val="decimal"/>
      <w:lvlText w:val=""/>
      <w:lvlJc w:val="left"/>
    </w:lvl>
    <w:lvl w:ilvl="8" w:tplc="B6A08D0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7C623A74"/>
    <w:lvl w:ilvl="0" w:tplc="DB4228F2">
      <w:start w:val="45"/>
      <w:numFmt w:val="upperLetter"/>
      <w:lvlText w:val="%1"/>
      <w:lvlJc w:val="left"/>
    </w:lvl>
    <w:lvl w:ilvl="1" w:tplc="2F6A59BA">
      <w:numFmt w:val="decimal"/>
      <w:lvlText w:val=""/>
      <w:lvlJc w:val="left"/>
    </w:lvl>
    <w:lvl w:ilvl="2" w:tplc="CFAC75D0">
      <w:numFmt w:val="decimal"/>
      <w:lvlText w:val=""/>
      <w:lvlJc w:val="left"/>
    </w:lvl>
    <w:lvl w:ilvl="3" w:tplc="11E4B0B8">
      <w:numFmt w:val="decimal"/>
      <w:lvlText w:val=""/>
      <w:lvlJc w:val="left"/>
    </w:lvl>
    <w:lvl w:ilvl="4" w:tplc="14205F02">
      <w:numFmt w:val="decimal"/>
      <w:lvlText w:val=""/>
      <w:lvlJc w:val="left"/>
    </w:lvl>
    <w:lvl w:ilvl="5" w:tplc="3BBE40F6">
      <w:numFmt w:val="decimal"/>
      <w:lvlText w:val=""/>
      <w:lvlJc w:val="left"/>
    </w:lvl>
    <w:lvl w:ilvl="6" w:tplc="B23E9576">
      <w:numFmt w:val="decimal"/>
      <w:lvlText w:val=""/>
      <w:lvlJc w:val="left"/>
    </w:lvl>
    <w:lvl w:ilvl="7" w:tplc="7228F092">
      <w:numFmt w:val="decimal"/>
      <w:lvlText w:val=""/>
      <w:lvlJc w:val="left"/>
    </w:lvl>
    <w:lvl w:ilvl="8" w:tplc="A22857A0">
      <w:numFmt w:val="decimal"/>
      <w:lvlText w:val=""/>
      <w:lvlJc w:val="left"/>
    </w:lvl>
  </w:abstractNum>
  <w:abstractNum w:abstractNumId="6" w15:restartNumberingAfterBreak="0">
    <w:nsid w:val="4D834FA9"/>
    <w:multiLevelType w:val="hybridMultilevel"/>
    <w:tmpl w:val="7414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C"/>
    <w:rsid w:val="000E427E"/>
    <w:rsid w:val="001134B4"/>
    <w:rsid w:val="002E6B5C"/>
    <w:rsid w:val="0038132E"/>
    <w:rsid w:val="003F00D1"/>
    <w:rsid w:val="00422CBC"/>
    <w:rsid w:val="00433A6C"/>
    <w:rsid w:val="00443C2E"/>
    <w:rsid w:val="00450373"/>
    <w:rsid w:val="004B2637"/>
    <w:rsid w:val="00504167"/>
    <w:rsid w:val="00526DA3"/>
    <w:rsid w:val="005352DD"/>
    <w:rsid w:val="0058093A"/>
    <w:rsid w:val="00626B22"/>
    <w:rsid w:val="006C0428"/>
    <w:rsid w:val="0081035B"/>
    <w:rsid w:val="009254B1"/>
    <w:rsid w:val="00A2201F"/>
    <w:rsid w:val="00A70AF2"/>
    <w:rsid w:val="00A7783C"/>
    <w:rsid w:val="00B77975"/>
    <w:rsid w:val="00B86B6A"/>
    <w:rsid w:val="00C02BE8"/>
    <w:rsid w:val="00CC215C"/>
    <w:rsid w:val="00D15DFA"/>
    <w:rsid w:val="00DF4BF3"/>
    <w:rsid w:val="00F8409C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C743-3137-4C9C-A325-A2CAB56E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-article-referencestext">
    <w:name w:val="c-article-references__text"/>
    <w:basedOn w:val="a"/>
    <w:rsid w:val="00DF4BF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4/S1054661818040120" TargetMode="External"/><Relationship Id="rId13" Type="http://schemas.openxmlformats.org/officeDocument/2006/relationships/hyperlink" Target="https://doi.org/10.1016/S2213-8587(19)30411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0792-018-1034-8" TargetMode="External"/><Relationship Id="rId12" Type="http://schemas.openxmlformats.org/officeDocument/2006/relationships/hyperlink" Target="https://doi.org/10.3949/ccjm.71.2.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1/archopht.15.758" TargetMode="External"/><Relationship Id="rId11" Type="http://schemas.openxmlformats.org/officeDocument/2006/relationships/hyperlink" Target="https://doi.org/10.1136/bjophthalmol-2019-315394" TargetMode="External"/><Relationship Id="rId5" Type="http://schemas.openxmlformats.org/officeDocument/2006/relationships/hyperlink" Target="https://doi.org/10.1016/S0140-6736(09)62124-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136/bjophthalmol-2018-31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oret.2020.01.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 A</cp:lastModifiedBy>
  <cp:revision>10</cp:revision>
  <dcterms:created xsi:type="dcterms:W3CDTF">2021-05-02T02:07:00Z</dcterms:created>
  <dcterms:modified xsi:type="dcterms:W3CDTF">2022-04-22T08:36:00Z</dcterms:modified>
</cp:coreProperties>
</file>